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06301" w14:textId="77777777" w:rsidR="0099599B" w:rsidRDefault="00EB7A3F">
      <w:r>
        <w:rPr>
          <w:rFonts w:ascii="Calibri" w:eastAsia="Arial" w:hAnsi="Calibri" w:cs="Calibri"/>
          <w:noProof/>
          <w:sz w:val="20"/>
          <w:szCs w:val="18"/>
        </w:rPr>
        <w:drawing>
          <wp:anchor distT="0" distB="0" distL="114300" distR="114300" simplePos="0" relativeHeight="251660288" behindDoc="0" locked="0" layoutInCell="1" allowOverlap="1" wp14:anchorId="48CC9EB4" wp14:editId="6CF12FF0">
            <wp:simplePos x="0" y="0"/>
            <wp:positionH relativeFrom="leftMargin">
              <wp:posOffset>5715</wp:posOffset>
            </wp:positionH>
            <wp:positionV relativeFrom="paragraph">
              <wp:posOffset>-900430</wp:posOffset>
            </wp:positionV>
            <wp:extent cx="857250" cy="1354455"/>
            <wp:effectExtent l="0" t="0" r="1143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rcRect l="86994" t="56673"/>
                    <a:stretch>
                      <a:fillRect/>
                    </a:stretch>
                  </pic:blipFill>
                  <pic:spPr>
                    <a:xfrm rot="10800000">
                      <a:off x="0" y="0"/>
                      <a:ext cx="857250" cy="1354455"/>
                    </a:xfrm>
                    <a:prstGeom prst="rect">
                      <a:avLst/>
                    </a:prstGeom>
                    <a:ln>
                      <a:noFill/>
                    </a:ln>
                  </pic:spPr>
                </pic:pic>
              </a:graphicData>
            </a:graphic>
          </wp:anchor>
        </w:drawing>
      </w:r>
    </w:p>
    <w:sdt>
      <w:sdtPr>
        <w:id w:val="-1"/>
      </w:sdtPr>
      <w:sdtEndPr>
        <w:rPr>
          <w:rFonts w:ascii="Agency FB" w:hAnsi="Agency FB"/>
          <w:color w:val="501549" w:themeColor="accent5" w:themeShade="80"/>
          <w:sz w:val="72"/>
          <w:szCs w:val="56"/>
        </w:rPr>
      </w:sdtEndPr>
      <w:sdtContent>
        <w:p w14:paraId="7CE32129" w14:textId="77777777" w:rsidR="0099599B" w:rsidRDefault="0099599B"/>
        <w:p w14:paraId="307C0F37" w14:textId="77777777" w:rsidR="0099599B" w:rsidRDefault="00EB7A3F">
          <w:pPr>
            <w:spacing w:line="276" w:lineRule="auto"/>
            <w:jc w:val="center"/>
            <w:rPr>
              <w:rFonts w:ascii="Calibri" w:eastAsia="Calibri" w:hAnsi="Calibri" w:cs="Calibri"/>
              <w:b/>
              <w:sz w:val="36"/>
              <w:szCs w:val="36"/>
            </w:rPr>
          </w:pPr>
          <w:r>
            <w:rPr>
              <w:rFonts w:ascii="Calibri" w:eastAsia="Calibri" w:hAnsi="Calibri" w:cs="Calibri"/>
              <w:b/>
              <w:bCs/>
              <w:sz w:val="36"/>
              <w:szCs w:val="36"/>
            </w:rPr>
            <w:t xml:space="preserve">Climate-Vulnerability Assessments for Ada East District Assembly </w:t>
          </w:r>
          <w:r>
            <w:rPr>
              <w:rFonts w:ascii="Calibri" w:eastAsia="Calibri" w:hAnsi="Calibri" w:cs="Calibri"/>
              <w:b/>
              <w:sz w:val="36"/>
              <w:szCs w:val="36"/>
            </w:rPr>
            <w:t>Report</w:t>
          </w:r>
        </w:p>
        <w:p w14:paraId="22608B6C" w14:textId="77777777" w:rsidR="0099599B" w:rsidRDefault="0099599B">
          <w:pPr>
            <w:spacing w:after="117" w:line="276" w:lineRule="auto"/>
            <w:ind w:right="593"/>
            <w:jc w:val="center"/>
            <w:rPr>
              <w:rFonts w:ascii="Calibri" w:eastAsia="Calibri" w:hAnsi="Calibri" w:cs="Calibri"/>
              <w:sz w:val="22"/>
            </w:rPr>
          </w:pPr>
        </w:p>
        <w:p w14:paraId="6CD16AED" w14:textId="77777777" w:rsidR="0099599B" w:rsidRDefault="0099599B">
          <w:pPr>
            <w:spacing w:after="117" w:line="276" w:lineRule="auto"/>
            <w:ind w:right="593"/>
            <w:jc w:val="center"/>
            <w:rPr>
              <w:rFonts w:ascii="Calibri" w:eastAsia="Calibri" w:hAnsi="Calibri" w:cs="Calibri"/>
              <w:sz w:val="22"/>
            </w:rPr>
          </w:pPr>
        </w:p>
        <w:p w14:paraId="38FFE4E2" w14:textId="77777777" w:rsidR="0099599B" w:rsidRDefault="00EB7A3F">
          <w:pPr>
            <w:spacing w:after="117" w:line="276" w:lineRule="auto"/>
            <w:ind w:right="593"/>
            <w:jc w:val="center"/>
            <w:rPr>
              <w:rFonts w:ascii="Calibri" w:eastAsia="Calibri" w:hAnsi="Calibri" w:cs="Calibri"/>
              <w:sz w:val="22"/>
            </w:rPr>
          </w:pPr>
          <w:r>
            <w:rPr>
              <w:rFonts w:ascii="Calibri" w:eastAsia="Calibri" w:hAnsi="Calibri" w:cs="Calibri"/>
              <w:sz w:val="22"/>
            </w:rPr>
            <w:t>Developed by:</w:t>
          </w:r>
        </w:p>
        <w:p w14:paraId="4BFC8366" w14:textId="77777777" w:rsidR="0099599B" w:rsidRDefault="0099599B">
          <w:pPr>
            <w:spacing w:after="126" w:line="276" w:lineRule="auto"/>
            <w:ind w:left="14"/>
            <w:jc w:val="center"/>
            <w:rPr>
              <w:rFonts w:ascii="Calibri" w:eastAsia="Calibri" w:hAnsi="Calibri" w:cs="Calibri"/>
              <w:sz w:val="22"/>
            </w:rPr>
          </w:pPr>
        </w:p>
        <w:p w14:paraId="3149BCF8" w14:textId="77777777" w:rsidR="0099599B" w:rsidRDefault="00EB7A3F">
          <w:pPr>
            <w:spacing w:after="10" w:line="276" w:lineRule="auto"/>
            <w:ind w:right="-15"/>
            <w:jc w:val="center"/>
            <w:rPr>
              <w:rFonts w:ascii="Calibri" w:eastAsia="Calibri" w:hAnsi="Calibri" w:cs="Calibri"/>
              <w:b/>
              <w:sz w:val="32"/>
              <w:szCs w:val="32"/>
            </w:rPr>
          </w:pPr>
          <w:r>
            <w:rPr>
              <w:rFonts w:ascii="Calibri" w:eastAsia="Calibri" w:hAnsi="Calibri" w:cs="Calibri"/>
              <w:b/>
              <w:sz w:val="32"/>
              <w:szCs w:val="32"/>
            </w:rPr>
            <w:t>Foresight Planners Africa Limited</w:t>
          </w:r>
        </w:p>
        <w:p w14:paraId="74E3328F" w14:textId="77777777" w:rsidR="0099599B" w:rsidRDefault="00EB7A3F">
          <w:pPr>
            <w:spacing w:after="10" w:line="276" w:lineRule="auto"/>
            <w:ind w:right="-15"/>
            <w:jc w:val="center"/>
            <w:rPr>
              <w:rFonts w:ascii="Calibri" w:eastAsia="Calibri" w:hAnsi="Calibri" w:cs="Calibri"/>
              <w:b/>
              <w:sz w:val="32"/>
              <w:szCs w:val="32"/>
            </w:rPr>
          </w:pPr>
          <w:r>
            <w:rPr>
              <w:rFonts w:ascii="Calibri" w:eastAsia="Calibri" w:hAnsi="Calibri" w:cs="Calibri"/>
              <w:b/>
              <w:noProof/>
              <w:sz w:val="22"/>
            </w:rPr>
            <w:drawing>
              <wp:anchor distT="0" distB="0" distL="114300" distR="114300" simplePos="0" relativeHeight="251661312" behindDoc="0" locked="0" layoutInCell="1" allowOverlap="1" wp14:anchorId="7BC8EE23" wp14:editId="6664C0E7">
                <wp:simplePos x="0" y="0"/>
                <wp:positionH relativeFrom="column">
                  <wp:posOffset>1524000</wp:posOffset>
                </wp:positionH>
                <wp:positionV relativeFrom="paragraph">
                  <wp:posOffset>149225</wp:posOffset>
                </wp:positionV>
                <wp:extent cx="3524250" cy="1268730"/>
                <wp:effectExtent l="0" t="0" r="11430" b="1143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4250" cy="1268798"/>
                        </a:xfrm>
                        <a:prstGeom prst="rect">
                          <a:avLst/>
                        </a:prstGeom>
                      </pic:spPr>
                    </pic:pic>
                  </a:graphicData>
                </a:graphic>
              </wp:anchor>
            </w:drawing>
          </w:r>
        </w:p>
        <w:p w14:paraId="4B178831" w14:textId="77777777" w:rsidR="0099599B" w:rsidRDefault="0099599B">
          <w:pPr>
            <w:spacing w:after="10" w:line="276" w:lineRule="auto"/>
            <w:ind w:right="-15"/>
            <w:jc w:val="center"/>
            <w:rPr>
              <w:rFonts w:ascii="Calibri" w:eastAsia="Calibri" w:hAnsi="Calibri" w:cs="Calibri"/>
              <w:b/>
              <w:sz w:val="32"/>
              <w:szCs w:val="32"/>
            </w:rPr>
          </w:pPr>
        </w:p>
        <w:p w14:paraId="60D09D89" w14:textId="77777777" w:rsidR="0099599B" w:rsidRDefault="0099599B">
          <w:pPr>
            <w:spacing w:after="10" w:line="276" w:lineRule="auto"/>
            <w:ind w:right="-15"/>
            <w:jc w:val="center"/>
            <w:rPr>
              <w:rFonts w:ascii="Calibri" w:eastAsia="Calibri" w:hAnsi="Calibri" w:cs="Calibri"/>
              <w:b/>
              <w:sz w:val="32"/>
              <w:szCs w:val="32"/>
            </w:rPr>
          </w:pPr>
        </w:p>
        <w:p w14:paraId="3E387387" w14:textId="77777777" w:rsidR="0099599B" w:rsidRDefault="0099599B">
          <w:pPr>
            <w:spacing w:after="10" w:line="276" w:lineRule="auto"/>
            <w:ind w:right="-15"/>
            <w:jc w:val="center"/>
            <w:rPr>
              <w:rFonts w:ascii="Calibri" w:eastAsia="Calibri" w:hAnsi="Calibri" w:cs="Calibri"/>
              <w:b/>
              <w:sz w:val="32"/>
              <w:szCs w:val="32"/>
            </w:rPr>
          </w:pPr>
        </w:p>
        <w:p w14:paraId="16B4C4F5" w14:textId="77777777" w:rsidR="0099599B" w:rsidRDefault="0099599B">
          <w:pPr>
            <w:spacing w:after="10" w:line="276" w:lineRule="auto"/>
            <w:ind w:right="-15"/>
            <w:jc w:val="center"/>
            <w:rPr>
              <w:rFonts w:ascii="Calibri" w:eastAsia="Calibri" w:hAnsi="Calibri" w:cs="Calibri"/>
              <w:b/>
              <w:sz w:val="32"/>
              <w:szCs w:val="32"/>
            </w:rPr>
          </w:pPr>
        </w:p>
        <w:p w14:paraId="2FF4A659" w14:textId="77777777" w:rsidR="0099599B" w:rsidRDefault="0099599B">
          <w:pPr>
            <w:spacing w:after="9" w:line="276" w:lineRule="auto"/>
            <w:ind w:left="3431" w:right="3351"/>
            <w:jc w:val="center"/>
            <w:rPr>
              <w:rFonts w:ascii="Calibri" w:eastAsia="Calibri" w:hAnsi="Calibri" w:cs="Calibri"/>
              <w:b/>
              <w:sz w:val="22"/>
            </w:rPr>
          </w:pPr>
        </w:p>
        <w:p w14:paraId="579E78C6" w14:textId="77777777" w:rsidR="0099599B" w:rsidRDefault="00EB7A3F">
          <w:pPr>
            <w:spacing w:after="9" w:line="276" w:lineRule="auto"/>
            <w:ind w:left="3431" w:right="3351"/>
            <w:jc w:val="center"/>
            <w:rPr>
              <w:rFonts w:ascii="Calibri" w:eastAsia="Calibri" w:hAnsi="Calibri" w:cs="Calibri"/>
              <w:b/>
              <w:sz w:val="22"/>
            </w:rPr>
          </w:pPr>
          <w:r>
            <w:rPr>
              <w:rFonts w:ascii="Calibri" w:eastAsia="Calibri" w:hAnsi="Calibri" w:cs="Calibri"/>
              <w:b/>
              <w:sz w:val="22"/>
            </w:rPr>
            <w:t>P.O BOX LG 88</w:t>
          </w:r>
        </w:p>
        <w:p w14:paraId="758C38F7" w14:textId="77777777" w:rsidR="0099599B" w:rsidRDefault="00EB7A3F">
          <w:pPr>
            <w:spacing w:after="9" w:line="276" w:lineRule="auto"/>
            <w:ind w:left="3431" w:right="3351"/>
            <w:jc w:val="center"/>
            <w:rPr>
              <w:rFonts w:ascii="Calibri" w:eastAsia="Calibri" w:hAnsi="Calibri" w:cs="Calibri"/>
              <w:sz w:val="22"/>
            </w:rPr>
          </w:pPr>
          <w:r>
            <w:rPr>
              <w:rFonts w:ascii="Calibri" w:eastAsia="Calibri" w:hAnsi="Calibri" w:cs="Calibri"/>
              <w:b/>
              <w:sz w:val="22"/>
            </w:rPr>
            <w:t>University of Ghana LEGON, ACCRA</w:t>
          </w:r>
        </w:p>
        <w:p w14:paraId="1F72514C" w14:textId="77777777" w:rsidR="0099599B" w:rsidRDefault="0099599B">
          <w:pPr>
            <w:spacing w:after="9" w:line="276" w:lineRule="auto"/>
            <w:ind w:left="10" w:right="-15"/>
            <w:jc w:val="center"/>
            <w:rPr>
              <w:rFonts w:ascii="Calibri" w:eastAsia="Calibri" w:hAnsi="Calibri" w:cs="Calibri"/>
              <w:sz w:val="22"/>
            </w:rPr>
          </w:pPr>
        </w:p>
        <w:p w14:paraId="7FA583EF" w14:textId="77777777" w:rsidR="0099599B" w:rsidRDefault="00EB7A3F">
          <w:pPr>
            <w:spacing w:after="9" w:line="276" w:lineRule="auto"/>
            <w:ind w:left="10" w:right="-15"/>
            <w:jc w:val="center"/>
            <w:rPr>
              <w:rFonts w:ascii="Calibri" w:eastAsia="Calibri" w:hAnsi="Calibri" w:cs="Calibri"/>
              <w:b/>
              <w:sz w:val="22"/>
            </w:rPr>
          </w:pPr>
          <w:r>
            <w:rPr>
              <w:rFonts w:ascii="Calibri" w:eastAsia="Calibri" w:hAnsi="Calibri" w:cs="Calibri"/>
              <w:b/>
              <w:sz w:val="22"/>
            </w:rPr>
            <w:t>Tel: 0244269073/</w:t>
          </w:r>
        </w:p>
        <w:p w14:paraId="0BC351ED" w14:textId="77777777" w:rsidR="0099599B" w:rsidRDefault="00EB7A3F">
          <w:pPr>
            <w:spacing w:after="9" w:line="276" w:lineRule="auto"/>
            <w:ind w:left="10" w:right="-15"/>
            <w:jc w:val="center"/>
            <w:rPr>
              <w:rFonts w:ascii="Calibri" w:eastAsia="Calibri" w:hAnsi="Calibri" w:cs="Calibri"/>
              <w:b/>
              <w:sz w:val="22"/>
            </w:rPr>
          </w:pPr>
          <w:r>
            <w:rPr>
              <w:rFonts w:ascii="Calibri" w:eastAsia="Calibri" w:hAnsi="Calibri" w:cs="Calibri"/>
              <w:b/>
              <w:sz w:val="22"/>
            </w:rPr>
            <w:t xml:space="preserve">Email: </w:t>
          </w:r>
          <w:hyperlink r:id="rId11" w:history="1">
            <w:r>
              <w:rPr>
                <w:rFonts w:ascii="Calibri" w:eastAsia="Calibri" w:hAnsi="Calibri" w:cs="Calibri"/>
                <w:b/>
                <w:sz w:val="22"/>
                <w:u w:val="single"/>
              </w:rPr>
              <w:t>bobmanteaw@foresightplanners.com/rmanteaw@ug.edu.gh</w:t>
            </w:r>
          </w:hyperlink>
        </w:p>
        <w:p w14:paraId="5F2AAC5D" w14:textId="77777777" w:rsidR="0099599B" w:rsidRDefault="0099599B">
          <w:pPr>
            <w:spacing w:after="126" w:line="276" w:lineRule="auto"/>
            <w:rPr>
              <w:rFonts w:ascii="Calibri" w:eastAsia="Calibri" w:hAnsi="Calibri" w:cs="Calibri"/>
              <w:sz w:val="22"/>
            </w:rPr>
          </w:pPr>
        </w:p>
        <w:p w14:paraId="03235FA1" w14:textId="77777777" w:rsidR="0099599B" w:rsidRDefault="00EB7A3F">
          <w:pPr>
            <w:spacing w:after="114" w:line="276" w:lineRule="auto"/>
            <w:ind w:left="10" w:right="-15"/>
            <w:jc w:val="center"/>
            <w:rPr>
              <w:rFonts w:ascii="Calibri" w:eastAsia="Calibri" w:hAnsi="Calibri" w:cs="Calibri"/>
              <w:sz w:val="28"/>
              <w:szCs w:val="28"/>
            </w:rPr>
          </w:pPr>
          <w:r>
            <w:rPr>
              <w:rFonts w:ascii="Calibri" w:eastAsia="Calibri" w:hAnsi="Calibri" w:cs="Calibri"/>
              <w:sz w:val="28"/>
              <w:szCs w:val="28"/>
            </w:rPr>
            <w:t>TO:</w:t>
          </w:r>
        </w:p>
        <w:p w14:paraId="7F184FEB" w14:textId="77777777" w:rsidR="0099599B" w:rsidRDefault="0099599B">
          <w:pPr>
            <w:spacing w:after="4" w:line="276" w:lineRule="auto"/>
            <w:jc w:val="center"/>
            <w:rPr>
              <w:rFonts w:ascii="Calibri" w:eastAsia="Calibri" w:hAnsi="Calibri" w:cs="Calibri"/>
              <w:sz w:val="28"/>
              <w:szCs w:val="28"/>
            </w:rPr>
          </w:pPr>
        </w:p>
        <w:p w14:paraId="62BEDF8F" w14:textId="77777777" w:rsidR="0099599B" w:rsidRDefault="0099599B">
          <w:pPr>
            <w:spacing w:after="4" w:line="276" w:lineRule="auto"/>
            <w:jc w:val="center"/>
            <w:rPr>
              <w:rFonts w:ascii="Calibri" w:eastAsia="Calibri" w:hAnsi="Calibri" w:cs="Calibri"/>
              <w:sz w:val="28"/>
              <w:szCs w:val="28"/>
            </w:rPr>
          </w:pPr>
        </w:p>
        <w:p w14:paraId="4F93652A" w14:textId="77777777" w:rsidR="0099599B" w:rsidRDefault="00EB7A3F">
          <w:pPr>
            <w:spacing w:after="0" w:line="276" w:lineRule="auto"/>
            <w:ind w:left="10" w:right="-15"/>
            <w:jc w:val="center"/>
            <w:rPr>
              <w:rFonts w:ascii="Calibri" w:eastAsia="Calibri" w:hAnsi="Calibri" w:cs="Calibri"/>
              <w:b/>
              <w:sz w:val="32"/>
              <w:szCs w:val="32"/>
            </w:rPr>
          </w:pPr>
          <w:r>
            <w:rPr>
              <w:rFonts w:ascii="Calibri" w:eastAsia="Calibri" w:hAnsi="Calibri" w:cs="Calibri"/>
              <w:b/>
              <w:sz w:val="32"/>
              <w:szCs w:val="32"/>
            </w:rPr>
            <w:t>EPA/IISD/ NAP GLOBAL NEWTWORK</w:t>
          </w:r>
        </w:p>
        <w:p w14:paraId="649CCB88" w14:textId="77777777" w:rsidR="0099599B" w:rsidRDefault="00EB7A3F"/>
      </w:sdtContent>
    </w:sdt>
    <w:p w14:paraId="6E3900FC" w14:textId="77777777" w:rsidR="0099599B" w:rsidRDefault="00EB7A3F">
      <w:r>
        <w:br w:type="page"/>
      </w:r>
      <w:r>
        <w:rPr>
          <w:rFonts w:ascii="Calibri" w:eastAsia="Arial" w:hAnsi="Calibri" w:cs="Calibri"/>
          <w:noProof/>
          <w:sz w:val="20"/>
          <w:szCs w:val="18"/>
        </w:rPr>
        <w:drawing>
          <wp:anchor distT="0" distB="0" distL="114300" distR="114300" simplePos="0" relativeHeight="251662336" behindDoc="0" locked="0" layoutInCell="1" allowOverlap="1" wp14:anchorId="4249586D" wp14:editId="12D226C4">
            <wp:simplePos x="0" y="0"/>
            <wp:positionH relativeFrom="page">
              <wp:posOffset>6626860</wp:posOffset>
            </wp:positionH>
            <wp:positionV relativeFrom="page">
              <wp:posOffset>8672195</wp:posOffset>
            </wp:positionV>
            <wp:extent cx="1109980" cy="1362710"/>
            <wp:effectExtent l="0" t="0" r="254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rcRect l="86994" t="56673"/>
                    <a:stretch>
                      <a:fillRect/>
                    </a:stretch>
                  </pic:blipFill>
                  <pic:spPr>
                    <a:xfrm>
                      <a:off x="0" y="0"/>
                      <a:ext cx="1109980" cy="1362710"/>
                    </a:xfrm>
                    <a:prstGeom prst="rect">
                      <a:avLst/>
                    </a:prstGeom>
                    <a:ln>
                      <a:noFill/>
                    </a:ln>
                  </pic:spPr>
                </pic:pic>
              </a:graphicData>
            </a:graphic>
          </wp:anchor>
        </w:drawing>
      </w:r>
    </w:p>
    <w:p w14:paraId="1BE7C8EC" w14:textId="77777777" w:rsidR="0099599B" w:rsidRDefault="0099599B">
      <w:pPr>
        <w:pStyle w:val="Heading1"/>
        <w:sectPr w:rsidR="0099599B">
          <w:headerReference w:type="default" r:id="rId13"/>
          <w:footerReference w:type="default" r:id="rId14"/>
          <w:pgSz w:w="12240" w:h="15840"/>
          <w:pgMar w:top="1440" w:right="1440" w:bottom="1440" w:left="1440" w:header="720" w:footer="720" w:gutter="0"/>
          <w:cols w:space="0"/>
          <w:docGrid w:linePitch="360"/>
        </w:sectPr>
      </w:pPr>
      <w:bookmarkStart w:id="0" w:name="_Toc9542"/>
    </w:p>
    <w:p w14:paraId="2613C580" w14:textId="77777777" w:rsidR="0099599B" w:rsidRDefault="00EB7A3F">
      <w:pPr>
        <w:pStyle w:val="Heading1"/>
      </w:pPr>
      <w:bookmarkStart w:id="1" w:name="_Toc21941"/>
      <w:r>
        <w:lastRenderedPageBreak/>
        <w:t>Table of Contents</w:t>
      </w:r>
      <w:bookmarkEnd w:id="0"/>
      <w:bookmarkEnd w:id="1"/>
    </w:p>
    <w:sdt>
      <w:sdtPr>
        <w:rPr>
          <w:rFonts w:ascii="SimSun" w:eastAsia="SimSun" w:hAnsi="SimSun"/>
          <w:sz w:val="21"/>
        </w:rPr>
        <w:id w:val="147466332"/>
        <w15:color w:val="DBDBDB"/>
        <w:docPartObj>
          <w:docPartGallery w:val="Table of Contents"/>
          <w:docPartUnique/>
        </w:docPartObj>
      </w:sdtPr>
      <w:sdtEndPr>
        <w:rPr>
          <w:rFonts w:ascii="Times New Roman" w:eastAsiaTheme="minorHAnsi" w:hAnsi="Times New Roman"/>
          <w:b/>
          <w:sz w:val="24"/>
        </w:rPr>
      </w:sdtEndPr>
      <w:sdtContent>
        <w:p w14:paraId="5F8C8914" w14:textId="77777777" w:rsidR="0099599B" w:rsidRDefault="0099599B">
          <w:pPr>
            <w:spacing w:after="0" w:line="240" w:lineRule="auto"/>
            <w:jc w:val="center"/>
          </w:pPr>
        </w:p>
        <w:p w14:paraId="2D73AC58" w14:textId="77777777" w:rsidR="0099599B" w:rsidRDefault="00EB7A3F">
          <w:pPr>
            <w:pStyle w:val="TOC1"/>
            <w:tabs>
              <w:tab w:val="right" w:leader="dot" w:pos="9360"/>
            </w:tabs>
          </w:pPr>
          <w:r>
            <w:fldChar w:fldCharType="begin"/>
          </w:r>
          <w:r>
            <w:instrText xml:space="preserve">TOC \o "1-2" \h \u </w:instrText>
          </w:r>
          <w:r>
            <w:fldChar w:fldCharType="separate"/>
          </w:r>
          <w:hyperlink w:anchor="_Toc21941" w:history="1">
            <w:r>
              <w:t>Table of Contents</w:t>
            </w:r>
            <w:r>
              <w:tab/>
            </w:r>
            <w:r>
              <w:fldChar w:fldCharType="begin"/>
            </w:r>
            <w:r>
              <w:instrText xml:space="preserve"> PAGEREF _Toc21941 \h </w:instrText>
            </w:r>
            <w:r>
              <w:fldChar w:fldCharType="separate"/>
            </w:r>
            <w:r>
              <w:t>I</w:t>
            </w:r>
            <w:r>
              <w:fldChar w:fldCharType="end"/>
            </w:r>
          </w:hyperlink>
        </w:p>
        <w:p w14:paraId="49A76AE9" w14:textId="77777777" w:rsidR="0099599B" w:rsidRDefault="00EB7A3F">
          <w:pPr>
            <w:pStyle w:val="TOC1"/>
            <w:tabs>
              <w:tab w:val="right" w:leader="dot" w:pos="9360"/>
            </w:tabs>
          </w:pPr>
          <w:hyperlink w:anchor="_Toc10295" w:history="1">
            <w:r>
              <w:t>List of figures</w:t>
            </w:r>
            <w:r>
              <w:tab/>
            </w:r>
            <w:r>
              <w:fldChar w:fldCharType="begin"/>
            </w:r>
            <w:r>
              <w:instrText xml:space="preserve"> PAGEREF _Toc10295 \h </w:instrText>
            </w:r>
            <w:r>
              <w:fldChar w:fldCharType="separate"/>
            </w:r>
            <w:r>
              <w:t>III</w:t>
            </w:r>
            <w:r>
              <w:fldChar w:fldCharType="end"/>
            </w:r>
          </w:hyperlink>
        </w:p>
        <w:p w14:paraId="36BD364D" w14:textId="77777777" w:rsidR="0099599B" w:rsidRDefault="00EB7A3F">
          <w:pPr>
            <w:pStyle w:val="TOC1"/>
            <w:tabs>
              <w:tab w:val="right" w:leader="dot" w:pos="9360"/>
            </w:tabs>
          </w:pPr>
          <w:hyperlink w:anchor="_Toc21262" w:history="1">
            <w:r>
              <w:t>List of tables</w:t>
            </w:r>
            <w:r>
              <w:tab/>
            </w:r>
            <w:r>
              <w:fldChar w:fldCharType="begin"/>
            </w:r>
            <w:r>
              <w:instrText xml:space="preserve"> PAGEREF _Toc21262 \h </w:instrText>
            </w:r>
            <w:r>
              <w:fldChar w:fldCharType="separate"/>
            </w:r>
            <w:r>
              <w:t>IV</w:t>
            </w:r>
            <w:r>
              <w:fldChar w:fldCharType="end"/>
            </w:r>
          </w:hyperlink>
        </w:p>
        <w:p w14:paraId="13D8F0A8" w14:textId="77777777" w:rsidR="0099599B" w:rsidRDefault="00EB7A3F">
          <w:pPr>
            <w:pStyle w:val="TOC1"/>
            <w:tabs>
              <w:tab w:val="right" w:leader="dot" w:pos="9360"/>
            </w:tabs>
          </w:pPr>
          <w:hyperlink w:anchor="_Toc29415" w:history="1">
            <w:r>
              <w:t>Acronyms</w:t>
            </w:r>
            <w:r>
              <w:tab/>
            </w:r>
            <w:r>
              <w:fldChar w:fldCharType="begin"/>
            </w:r>
            <w:r>
              <w:instrText xml:space="preserve"> PAGEREF _Toc29415 \h </w:instrText>
            </w:r>
            <w:r>
              <w:fldChar w:fldCharType="separate"/>
            </w:r>
            <w:r>
              <w:t>V</w:t>
            </w:r>
            <w:r>
              <w:fldChar w:fldCharType="end"/>
            </w:r>
          </w:hyperlink>
        </w:p>
        <w:p w14:paraId="049517DB" w14:textId="77777777" w:rsidR="0099599B" w:rsidRDefault="00EB7A3F">
          <w:pPr>
            <w:pStyle w:val="TOC1"/>
            <w:tabs>
              <w:tab w:val="right" w:leader="dot" w:pos="9360"/>
            </w:tabs>
          </w:pPr>
          <w:hyperlink w:anchor="_Toc23537" w:history="1">
            <w:r>
              <w:t>Executive Summary</w:t>
            </w:r>
            <w:r>
              <w:tab/>
            </w:r>
            <w:r>
              <w:fldChar w:fldCharType="begin"/>
            </w:r>
            <w:r>
              <w:instrText xml:space="preserve"> PAGEREF _Toc23537 \h </w:instrText>
            </w:r>
            <w:r>
              <w:fldChar w:fldCharType="separate"/>
            </w:r>
            <w:r>
              <w:t>VI</w:t>
            </w:r>
            <w:r>
              <w:fldChar w:fldCharType="end"/>
            </w:r>
          </w:hyperlink>
        </w:p>
        <w:p w14:paraId="66C0D039" w14:textId="77777777" w:rsidR="0099599B" w:rsidRDefault="00EB7A3F">
          <w:pPr>
            <w:pStyle w:val="TOC1"/>
            <w:tabs>
              <w:tab w:val="right" w:leader="dot" w:pos="9360"/>
            </w:tabs>
          </w:pPr>
          <w:hyperlink w:anchor="_Toc2567" w:history="1">
            <w:r>
              <w:t>CHAPTER 1</w:t>
            </w:r>
            <w:r>
              <w:tab/>
            </w:r>
            <w:r>
              <w:fldChar w:fldCharType="begin"/>
            </w:r>
            <w:r>
              <w:instrText xml:space="preserve"> PAGEREF _Toc2567 \h </w:instrText>
            </w:r>
            <w:r>
              <w:fldChar w:fldCharType="separate"/>
            </w:r>
            <w:r>
              <w:t>1</w:t>
            </w:r>
            <w:r>
              <w:fldChar w:fldCharType="end"/>
            </w:r>
          </w:hyperlink>
        </w:p>
        <w:p w14:paraId="0E01063C" w14:textId="77777777" w:rsidR="0099599B" w:rsidRDefault="00EB7A3F">
          <w:pPr>
            <w:pStyle w:val="TOC2"/>
            <w:tabs>
              <w:tab w:val="right" w:leader="dot" w:pos="9360"/>
            </w:tabs>
            <w:ind w:left="480"/>
          </w:pPr>
          <w:hyperlink w:anchor="_Toc15191" w:history="1">
            <w:r>
              <w:t xml:space="preserve">1.1 </w:t>
            </w:r>
            <w:r>
              <w:t>BACKGROUND</w:t>
            </w:r>
            <w:r>
              <w:tab/>
            </w:r>
            <w:r>
              <w:fldChar w:fldCharType="begin"/>
            </w:r>
            <w:r>
              <w:instrText xml:space="preserve"> PAGEREF _Toc15191 \h </w:instrText>
            </w:r>
            <w:r>
              <w:fldChar w:fldCharType="separate"/>
            </w:r>
            <w:r>
              <w:t>1</w:t>
            </w:r>
            <w:r>
              <w:fldChar w:fldCharType="end"/>
            </w:r>
          </w:hyperlink>
        </w:p>
        <w:p w14:paraId="5858D202" w14:textId="77777777" w:rsidR="0099599B" w:rsidRDefault="00EB7A3F">
          <w:pPr>
            <w:pStyle w:val="TOC2"/>
            <w:tabs>
              <w:tab w:val="right" w:leader="dot" w:pos="9360"/>
            </w:tabs>
            <w:ind w:left="480"/>
          </w:pPr>
          <w:hyperlink w:anchor="_Toc20252" w:history="1">
            <w:r>
              <w:rPr>
                <w:bCs/>
              </w:rPr>
              <w:t>1.2. Purpose and objective of the vulnerability assessment</w:t>
            </w:r>
            <w:r>
              <w:tab/>
            </w:r>
            <w:r>
              <w:fldChar w:fldCharType="begin"/>
            </w:r>
            <w:r>
              <w:instrText xml:space="preserve"> PAGEREF _Toc20252 \h </w:instrText>
            </w:r>
            <w:r>
              <w:fldChar w:fldCharType="separate"/>
            </w:r>
            <w:r>
              <w:t>2</w:t>
            </w:r>
            <w:r>
              <w:fldChar w:fldCharType="end"/>
            </w:r>
          </w:hyperlink>
        </w:p>
        <w:p w14:paraId="627D88FE" w14:textId="77777777" w:rsidR="0099599B" w:rsidRDefault="00EB7A3F">
          <w:pPr>
            <w:pStyle w:val="TOC2"/>
            <w:tabs>
              <w:tab w:val="right" w:leader="dot" w:pos="9360"/>
            </w:tabs>
            <w:ind w:left="480"/>
          </w:pPr>
          <w:hyperlink w:anchor="_Toc19807" w:history="1">
            <w:r>
              <w:t>1.3 Scope of VA</w:t>
            </w:r>
            <w:r>
              <w:tab/>
            </w:r>
            <w:r>
              <w:fldChar w:fldCharType="begin"/>
            </w:r>
            <w:r>
              <w:instrText xml:space="preserve"> PAGEREF _Toc19807 \h </w:instrText>
            </w:r>
            <w:r>
              <w:fldChar w:fldCharType="separate"/>
            </w:r>
            <w:r>
              <w:t>3</w:t>
            </w:r>
            <w:r>
              <w:fldChar w:fldCharType="end"/>
            </w:r>
          </w:hyperlink>
        </w:p>
        <w:p w14:paraId="04FD5231" w14:textId="77777777" w:rsidR="0099599B" w:rsidRDefault="00EB7A3F">
          <w:pPr>
            <w:pStyle w:val="TOC2"/>
            <w:tabs>
              <w:tab w:val="right" w:leader="dot" w:pos="9360"/>
            </w:tabs>
            <w:ind w:left="480"/>
          </w:pPr>
          <w:hyperlink w:anchor="_Toc21455" w:history="1">
            <w:r>
              <w:t>1.4 Outputs of the VA</w:t>
            </w:r>
            <w:r>
              <w:tab/>
            </w:r>
            <w:r>
              <w:fldChar w:fldCharType="begin"/>
            </w:r>
            <w:r>
              <w:instrText xml:space="preserve"> PAGEREF _Toc21455 \h </w:instrText>
            </w:r>
            <w:r>
              <w:fldChar w:fldCharType="separate"/>
            </w:r>
            <w:r>
              <w:t>5</w:t>
            </w:r>
            <w:r>
              <w:fldChar w:fldCharType="end"/>
            </w:r>
          </w:hyperlink>
        </w:p>
        <w:p w14:paraId="0546D415" w14:textId="77777777" w:rsidR="0099599B" w:rsidRDefault="00EB7A3F">
          <w:pPr>
            <w:pStyle w:val="TOC2"/>
            <w:tabs>
              <w:tab w:val="right" w:leader="dot" w:pos="9360"/>
            </w:tabs>
            <w:ind w:left="480"/>
          </w:pPr>
          <w:hyperlink w:anchor="_Toc29447" w:history="1">
            <w:r>
              <w:t>1.5 Guiding Principles</w:t>
            </w:r>
            <w:r>
              <w:tab/>
            </w:r>
            <w:r>
              <w:fldChar w:fldCharType="begin"/>
            </w:r>
            <w:r>
              <w:instrText xml:space="preserve"> PAGEREF _Toc29447 \h </w:instrText>
            </w:r>
            <w:r>
              <w:fldChar w:fldCharType="separate"/>
            </w:r>
            <w:r>
              <w:t>6</w:t>
            </w:r>
            <w:r>
              <w:fldChar w:fldCharType="end"/>
            </w:r>
          </w:hyperlink>
        </w:p>
        <w:p w14:paraId="0942D88A" w14:textId="77777777" w:rsidR="0099599B" w:rsidRDefault="00EB7A3F">
          <w:pPr>
            <w:pStyle w:val="TOC2"/>
            <w:tabs>
              <w:tab w:val="right" w:leader="dot" w:pos="9360"/>
            </w:tabs>
            <w:ind w:left="480"/>
          </w:pPr>
          <w:hyperlink w:anchor="_Toc6967" w:history="1">
            <w:r>
              <w:t>1.6 Definition of key terms and concepts</w:t>
            </w:r>
            <w:r>
              <w:tab/>
            </w:r>
            <w:r>
              <w:fldChar w:fldCharType="begin"/>
            </w:r>
            <w:r>
              <w:instrText xml:space="preserve"> PAGEREF _Toc6967 \h </w:instrText>
            </w:r>
            <w:r>
              <w:fldChar w:fldCharType="separate"/>
            </w:r>
            <w:r>
              <w:t>7</w:t>
            </w:r>
            <w:r>
              <w:fldChar w:fldCharType="end"/>
            </w:r>
          </w:hyperlink>
        </w:p>
        <w:p w14:paraId="6479CE5E" w14:textId="77777777" w:rsidR="0099599B" w:rsidRDefault="00EB7A3F">
          <w:pPr>
            <w:pStyle w:val="TOC2"/>
            <w:tabs>
              <w:tab w:val="right" w:leader="dot" w:pos="9360"/>
            </w:tabs>
            <w:ind w:left="480"/>
          </w:pPr>
          <w:hyperlink w:anchor="_Toc30931" w:history="1">
            <w:r>
              <w:t xml:space="preserve">1.7 Methodological Framework for the VA </w:t>
            </w:r>
            <w:r>
              <w:t>P</w:t>
            </w:r>
            <w:r>
              <w:t>rocess</w:t>
            </w:r>
            <w:r>
              <w:tab/>
            </w:r>
            <w:r>
              <w:fldChar w:fldCharType="begin"/>
            </w:r>
            <w:r>
              <w:instrText xml:space="preserve"> PAGEREF _Toc30931 \h </w:instrText>
            </w:r>
            <w:r>
              <w:fldChar w:fldCharType="separate"/>
            </w:r>
            <w:r>
              <w:t>9</w:t>
            </w:r>
            <w:r>
              <w:fldChar w:fldCharType="end"/>
            </w:r>
          </w:hyperlink>
        </w:p>
        <w:p w14:paraId="2FEEDABE" w14:textId="77777777" w:rsidR="0099599B" w:rsidRDefault="00EB7A3F">
          <w:pPr>
            <w:pStyle w:val="TOC1"/>
            <w:tabs>
              <w:tab w:val="right" w:leader="dot" w:pos="9360"/>
            </w:tabs>
          </w:pPr>
          <w:hyperlink w:anchor="_Toc26213" w:history="1">
            <w:r>
              <w:t>CHAPTER 2 - DISTRICT PROFILE</w:t>
            </w:r>
            <w:r>
              <w:tab/>
            </w:r>
            <w:r>
              <w:fldChar w:fldCharType="begin"/>
            </w:r>
            <w:r>
              <w:instrText xml:space="preserve"> PAGEREF _Toc26213 \h </w:instrText>
            </w:r>
            <w:r>
              <w:fldChar w:fldCharType="separate"/>
            </w:r>
            <w:r>
              <w:t>12</w:t>
            </w:r>
            <w:r>
              <w:fldChar w:fldCharType="end"/>
            </w:r>
          </w:hyperlink>
        </w:p>
        <w:p w14:paraId="794A88C1" w14:textId="77777777" w:rsidR="0099599B" w:rsidRDefault="00EB7A3F">
          <w:pPr>
            <w:pStyle w:val="TOC2"/>
            <w:tabs>
              <w:tab w:val="right" w:leader="dot" w:pos="9360"/>
            </w:tabs>
            <w:ind w:left="480"/>
          </w:pPr>
          <w:hyperlink w:anchor="_Toc12201" w:history="1">
            <w:r>
              <w:t>2.1 Location and size</w:t>
            </w:r>
            <w:r>
              <w:tab/>
            </w:r>
            <w:r>
              <w:fldChar w:fldCharType="begin"/>
            </w:r>
            <w:r>
              <w:instrText xml:space="preserve"> PAGEREF _Toc12201 \h </w:instrText>
            </w:r>
            <w:r>
              <w:fldChar w:fldCharType="separate"/>
            </w:r>
            <w:r>
              <w:t>12</w:t>
            </w:r>
            <w:r>
              <w:fldChar w:fldCharType="end"/>
            </w:r>
          </w:hyperlink>
        </w:p>
        <w:p w14:paraId="3B6D5D3C" w14:textId="77777777" w:rsidR="0099599B" w:rsidRDefault="00EB7A3F">
          <w:pPr>
            <w:pStyle w:val="TOC2"/>
            <w:tabs>
              <w:tab w:val="right" w:leader="dot" w:pos="9360"/>
            </w:tabs>
            <w:ind w:left="480"/>
          </w:pPr>
          <w:hyperlink w:anchor="_Toc28259" w:history="1">
            <w:r>
              <w:t>2.2 Demographic overview</w:t>
            </w:r>
            <w:r>
              <w:tab/>
            </w:r>
            <w:r>
              <w:fldChar w:fldCharType="begin"/>
            </w:r>
            <w:r>
              <w:instrText xml:space="preserve"> PAGEREF _Toc28259 \h </w:instrText>
            </w:r>
            <w:r>
              <w:fldChar w:fldCharType="separate"/>
            </w:r>
            <w:r>
              <w:t>13</w:t>
            </w:r>
            <w:r>
              <w:fldChar w:fldCharType="end"/>
            </w:r>
          </w:hyperlink>
        </w:p>
        <w:p w14:paraId="6D9E89DB" w14:textId="77777777" w:rsidR="0099599B" w:rsidRDefault="00EB7A3F">
          <w:pPr>
            <w:pStyle w:val="TOC2"/>
            <w:tabs>
              <w:tab w:val="right" w:leader="dot" w:pos="9360"/>
            </w:tabs>
            <w:ind w:left="480"/>
          </w:pPr>
          <w:hyperlink w:anchor="_Toc12631" w:history="1">
            <w:r>
              <w:t>2.3 Administration and governance</w:t>
            </w:r>
            <w:r>
              <w:tab/>
            </w:r>
            <w:r>
              <w:fldChar w:fldCharType="begin"/>
            </w:r>
            <w:r>
              <w:instrText xml:space="preserve"> PAGEREF _Toc12631 \h </w:instrText>
            </w:r>
            <w:r>
              <w:fldChar w:fldCharType="separate"/>
            </w:r>
            <w:r>
              <w:t>15</w:t>
            </w:r>
            <w:r>
              <w:fldChar w:fldCharType="end"/>
            </w:r>
          </w:hyperlink>
        </w:p>
        <w:p w14:paraId="761B8633" w14:textId="77777777" w:rsidR="0099599B" w:rsidRDefault="00EB7A3F">
          <w:pPr>
            <w:pStyle w:val="TOC2"/>
            <w:tabs>
              <w:tab w:val="right" w:leader="dot" w:pos="9360"/>
            </w:tabs>
            <w:ind w:left="480"/>
          </w:pPr>
          <w:hyperlink w:anchor="_Toc16126" w:history="1">
            <w:r>
              <w:t>2.4 Physical and environmental features</w:t>
            </w:r>
            <w:r>
              <w:tab/>
            </w:r>
            <w:r>
              <w:fldChar w:fldCharType="begin"/>
            </w:r>
            <w:r>
              <w:instrText xml:space="preserve"> PAGEREF _Toc16126 \h </w:instrText>
            </w:r>
            <w:r>
              <w:fldChar w:fldCharType="separate"/>
            </w:r>
            <w:r>
              <w:t>15</w:t>
            </w:r>
            <w:r>
              <w:fldChar w:fldCharType="end"/>
            </w:r>
          </w:hyperlink>
        </w:p>
        <w:p w14:paraId="18F8453F" w14:textId="77777777" w:rsidR="0099599B" w:rsidRDefault="00EB7A3F">
          <w:pPr>
            <w:pStyle w:val="TOC2"/>
            <w:tabs>
              <w:tab w:val="right" w:leader="dot" w:pos="9360"/>
            </w:tabs>
            <w:ind w:left="480"/>
          </w:pPr>
          <w:hyperlink w:anchor="_Toc22193" w:history="1">
            <w:r>
              <w:t>2.5 Economic overview (major economic sectors vulnerability to climate change)</w:t>
            </w:r>
            <w:r>
              <w:tab/>
            </w:r>
            <w:r>
              <w:fldChar w:fldCharType="begin"/>
            </w:r>
            <w:r>
              <w:instrText xml:space="preserve"> PAGEREF _Toc22193 \h </w:instrText>
            </w:r>
            <w:r>
              <w:fldChar w:fldCharType="separate"/>
            </w:r>
            <w:r>
              <w:t>16</w:t>
            </w:r>
            <w:r>
              <w:fldChar w:fldCharType="end"/>
            </w:r>
          </w:hyperlink>
        </w:p>
        <w:p w14:paraId="078538F6" w14:textId="77777777" w:rsidR="0099599B" w:rsidRDefault="00EB7A3F">
          <w:pPr>
            <w:pStyle w:val="TOC1"/>
            <w:tabs>
              <w:tab w:val="right" w:leader="dot" w:pos="9360"/>
            </w:tabs>
          </w:pPr>
          <w:hyperlink w:anchor="_Toc16661" w:history="1">
            <w:r>
              <w:t>CHAPTER 3 – ASSESSMENT OF VULNERABILITY TO CURRENT CLIMATE CHANGE</w:t>
            </w:r>
            <w:r>
              <w:tab/>
            </w:r>
            <w:r>
              <w:fldChar w:fldCharType="begin"/>
            </w:r>
            <w:r>
              <w:instrText xml:space="preserve"> PAGEREF _Toc16661 \h </w:instrText>
            </w:r>
            <w:r>
              <w:fldChar w:fldCharType="separate"/>
            </w:r>
            <w:r>
              <w:t>19</w:t>
            </w:r>
            <w:r>
              <w:fldChar w:fldCharType="end"/>
            </w:r>
          </w:hyperlink>
        </w:p>
        <w:p w14:paraId="1CE6FC40" w14:textId="77777777" w:rsidR="0099599B" w:rsidRDefault="00EB7A3F">
          <w:pPr>
            <w:pStyle w:val="TOC2"/>
            <w:tabs>
              <w:tab w:val="right" w:leader="dot" w:pos="9360"/>
            </w:tabs>
            <w:ind w:left="480"/>
          </w:pPr>
          <w:hyperlink w:anchor="_Toc21279" w:history="1">
            <w:r>
              <w:t>3.1 Analysis of the Observed Climate Changes</w:t>
            </w:r>
            <w:r>
              <w:tab/>
            </w:r>
            <w:r>
              <w:fldChar w:fldCharType="begin"/>
            </w:r>
            <w:r>
              <w:instrText xml:space="preserve"> PAGEREF _Toc21279 \h </w:instrText>
            </w:r>
            <w:r>
              <w:fldChar w:fldCharType="separate"/>
            </w:r>
            <w:r>
              <w:t>19</w:t>
            </w:r>
            <w:r>
              <w:fldChar w:fldCharType="end"/>
            </w:r>
          </w:hyperlink>
        </w:p>
        <w:p w14:paraId="6467F6A5" w14:textId="77777777" w:rsidR="0099599B" w:rsidRDefault="00EB7A3F">
          <w:pPr>
            <w:pStyle w:val="TOC2"/>
            <w:tabs>
              <w:tab w:val="right" w:leader="dot" w:pos="9360"/>
            </w:tabs>
            <w:ind w:left="480"/>
          </w:pPr>
          <w:hyperlink w:anchor="_Toc14414" w:history="1">
            <w:r>
              <w:t>3.2 Qualitative Assessment of Vulnerability to Current Climate Change</w:t>
            </w:r>
            <w:r>
              <w:tab/>
            </w:r>
            <w:r>
              <w:fldChar w:fldCharType="begin"/>
            </w:r>
            <w:r>
              <w:instrText xml:space="preserve"> PAGEREF _Toc14414 \h </w:instrText>
            </w:r>
            <w:r>
              <w:fldChar w:fldCharType="separate"/>
            </w:r>
            <w:r>
              <w:t>23</w:t>
            </w:r>
            <w:r>
              <w:fldChar w:fldCharType="end"/>
            </w:r>
          </w:hyperlink>
        </w:p>
        <w:p w14:paraId="036DF827" w14:textId="77777777" w:rsidR="0099599B" w:rsidRDefault="00EB7A3F">
          <w:pPr>
            <w:pStyle w:val="TOC2"/>
            <w:tabs>
              <w:tab w:val="right" w:leader="dot" w:pos="9360"/>
            </w:tabs>
            <w:ind w:left="480"/>
          </w:pPr>
          <w:hyperlink w:anchor="_Toc18960" w:history="1">
            <w:r>
              <w:t>3.3 Quantitative Assessment of Vulnerability to Current Climate Change</w:t>
            </w:r>
            <w:r>
              <w:tab/>
            </w:r>
            <w:r>
              <w:fldChar w:fldCharType="begin"/>
            </w:r>
            <w:r>
              <w:instrText xml:space="preserve"> PAGEREF _Toc18960 \h </w:instrText>
            </w:r>
            <w:r>
              <w:fldChar w:fldCharType="separate"/>
            </w:r>
            <w:r>
              <w:t>42</w:t>
            </w:r>
            <w:r>
              <w:fldChar w:fldCharType="end"/>
            </w:r>
          </w:hyperlink>
        </w:p>
        <w:p w14:paraId="2CD5AC56" w14:textId="77777777" w:rsidR="0099599B" w:rsidRDefault="00EB7A3F">
          <w:pPr>
            <w:pStyle w:val="TOC2"/>
            <w:tabs>
              <w:tab w:val="right" w:leader="dot" w:pos="9360"/>
            </w:tabs>
            <w:ind w:left="480"/>
          </w:pPr>
          <w:hyperlink w:anchor="_Toc22349" w:history="1">
            <w:r>
              <w:t>Sampling Methodology for Ada East District</w:t>
            </w:r>
            <w:r>
              <w:tab/>
            </w:r>
            <w:r>
              <w:fldChar w:fldCharType="begin"/>
            </w:r>
            <w:r>
              <w:instrText xml:space="preserve"> PAGEREF _Toc22349 \h </w:instrText>
            </w:r>
            <w:r>
              <w:fldChar w:fldCharType="separate"/>
            </w:r>
            <w:r>
              <w:t>43</w:t>
            </w:r>
            <w:r>
              <w:fldChar w:fldCharType="end"/>
            </w:r>
          </w:hyperlink>
        </w:p>
        <w:p w14:paraId="1C41339D" w14:textId="77777777" w:rsidR="0099599B" w:rsidRDefault="00EB7A3F">
          <w:pPr>
            <w:pStyle w:val="TOC1"/>
            <w:tabs>
              <w:tab w:val="right" w:leader="dot" w:pos="9360"/>
            </w:tabs>
          </w:pPr>
          <w:hyperlink w:anchor="_Toc5307" w:history="1">
            <w:r>
              <w:t>CHAPTER 4: ASSESSMENT OF VULNERABILITY TO FUTURE CLIMATE CHANGE</w:t>
            </w:r>
            <w:r>
              <w:tab/>
            </w:r>
            <w:r>
              <w:fldChar w:fldCharType="begin"/>
            </w:r>
            <w:r>
              <w:instrText xml:space="preserve"> PAGEREF _Toc5307 \h </w:instrText>
            </w:r>
            <w:r>
              <w:fldChar w:fldCharType="separate"/>
            </w:r>
            <w:r>
              <w:t>74</w:t>
            </w:r>
            <w:r>
              <w:fldChar w:fldCharType="end"/>
            </w:r>
          </w:hyperlink>
        </w:p>
        <w:p w14:paraId="0C65D5BF" w14:textId="77777777" w:rsidR="0099599B" w:rsidRDefault="00EB7A3F">
          <w:pPr>
            <w:pStyle w:val="TOC2"/>
            <w:tabs>
              <w:tab w:val="right" w:leader="dot" w:pos="9360"/>
            </w:tabs>
            <w:ind w:left="480"/>
          </w:pPr>
          <w:hyperlink w:anchor="_Toc26352" w:history="1">
            <w:r>
              <w:t>4.1 Climate Change Projections</w:t>
            </w:r>
            <w:r>
              <w:tab/>
            </w:r>
            <w:r>
              <w:fldChar w:fldCharType="begin"/>
            </w:r>
            <w:r>
              <w:instrText xml:space="preserve"> PAGEREF _Toc26352 \h </w:instrText>
            </w:r>
            <w:r>
              <w:fldChar w:fldCharType="separate"/>
            </w:r>
            <w:r>
              <w:t>74</w:t>
            </w:r>
            <w:r>
              <w:fldChar w:fldCharType="end"/>
            </w:r>
          </w:hyperlink>
        </w:p>
        <w:p w14:paraId="39C5AD58" w14:textId="77777777" w:rsidR="0099599B" w:rsidRDefault="00EB7A3F">
          <w:pPr>
            <w:pStyle w:val="TOC2"/>
            <w:tabs>
              <w:tab w:val="right" w:leader="dot" w:pos="9360"/>
            </w:tabs>
            <w:ind w:left="480"/>
          </w:pPr>
          <w:hyperlink w:anchor="_Toc25350" w:history="1">
            <w:r>
              <w:t>4.2 Potential Impacts and Future Climate Change Risk</w:t>
            </w:r>
            <w:r>
              <w:tab/>
            </w:r>
            <w:r>
              <w:fldChar w:fldCharType="begin"/>
            </w:r>
            <w:r>
              <w:instrText xml:space="preserve"> PAGEREF _Toc25350 \h </w:instrText>
            </w:r>
            <w:r>
              <w:fldChar w:fldCharType="separate"/>
            </w:r>
            <w:r>
              <w:t>79</w:t>
            </w:r>
            <w:r>
              <w:fldChar w:fldCharType="end"/>
            </w:r>
          </w:hyperlink>
        </w:p>
        <w:p w14:paraId="6F97E235" w14:textId="77777777" w:rsidR="0099599B" w:rsidRDefault="00EB7A3F">
          <w:pPr>
            <w:pStyle w:val="TOC1"/>
            <w:tabs>
              <w:tab w:val="right" w:leader="dot" w:pos="9360"/>
            </w:tabs>
          </w:pPr>
          <w:hyperlink w:anchor="_Toc8217" w:history="1">
            <w:r>
              <w:t>CHAPTER 5 – IMPLICATIONS FOR ADAPTATION PLANNING</w:t>
            </w:r>
            <w:r>
              <w:tab/>
            </w:r>
            <w:r>
              <w:fldChar w:fldCharType="begin"/>
            </w:r>
            <w:r>
              <w:instrText xml:space="preserve"> PAGEREF _Toc8217 \h </w:instrText>
            </w:r>
            <w:r>
              <w:fldChar w:fldCharType="separate"/>
            </w:r>
            <w:r>
              <w:t>82</w:t>
            </w:r>
            <w:r>
              <w:fldChar w:fldCharType="end"/>
            </w:r>
          </w:hyperlink>
        </w:p>
        <w:p w14:paraId="30CDF1E8" w14:textId="77777777" w:rsidR="0099599B" w:rsidRDefault="00EB7A3F">
          <w:pPr>
            <w:pStyle w:val="TOC2"/>
            <w:tabs>
              <w:tab w:val="right" w:leader="dot" w:pos="9360"/>
            </w:tabs>
            <w:ind w:left="480"/>
          </w:pPr>
          <w:hyperlink w:anchor="_Toc30864" w:history="1">
            <w:r>
              <w:t>5.1 Introduction</w:t>
            </w:r>
            <w:r>
              <w:tab/>
            </w:r>
            <w:r>
              <w:fldChar w:fldCharType="begin"/>
            </w:r>
            <w:r>
              <w:instrText xml:space="preserve"> PAGEREF _Toc30864 \h </w:instrText>
            </w:r>
            <w:r>
              <w:fldChar w:fldCharType="separate"/>
            </w:r>
            <w:r>
              <w:t>82</w:t>
            </w:r>
            <w:r>
              <w:fldChar w:fldCharType="end"/>
            </w:r>
          </w:hyperlink>
        </w:p>
        <w:p w14:paraId="67C6256C" w14:textId="77777777" w:rsidR="0099599B" w:rsidRDefault="00EB7A3F">
          <w:pPr>
            <w:pStyle w:val="TOC2"/>
            <w:tabs>
              <w:tab w:val="right" w:leader="dot" w:pos="9360"/>
            </w:tabs>
            <w:ind w:left="480"/>
          </w:pPr>
          <w:hyperlink w:anchor="_Toc5383" w:history="1">
            <w:r>
              <w:t>5.2 Conclusions</w:t>
            </w:r>
            <w:r>
              <w:tab/>
            </w:r>
            <w:r>
              <w:fldChar w:fldCharType="begin"/>
            </w:r>
            <w:r>
              <w:instrText xml:space="preserve"> PAGEREF _Toc5383 \h </w:instrText>
            </w:r>
            <w:r>
              <w:fldChar w:fldCharType="separate"/>
            </w:r>
            <w:r>
              <w:t>84</w:t>
            </w:r>
            <w:r>
              <w:fldChar w:fldCharType="end"/>
            </w:r>
          </w:hyperlink>
        </w:p>
        <w:p w14:paraId="37969FC3" w14:textId="77777777" w:rsidR="0099599B" w:rsidRDefault="00EB7A3F">
          <w:pPr>
            <w:pStyle w:val="TOC1"/>
            <w:tabs>
              <w:tab w:val="right" w:leader="dot" w:pos="9360"/>
            </w:tabs>
          </w:pPr>
          <w:hyperlink w:anchor="_Toc3895" w:history="1">
            <w:r>
              <w:t>REFERENCES</w:t>
            </w:r>
            <w:r>
              <w:tab/>
            </w:r>
            <w:r>
              <w:fldChar w:fldCharType="begin"/>
            </w:r>
            <w:r>
              <w:instrText xml:space="preserve"> PAGEREF _Toc3895 \h </w:instrText>
            </w:r>
            <w:r>
              <w:fldChar w:fldCharType="separate"/>
            </w:r>
            <w:r>
              <w:t>86</w:t>
            </w:r>
            <w:r>
              <w:fldChar w:fldCharType="end"/>
            </w:r>
          </w:hyperlink>
        </w:p>
        <w:p w14:paraId="287BDB86" w14:textId="77777777" w:rsidR="0099599B" w:rsidRDefault="00EB7A3F">
          <w:pPr>
            <w:pStyle w:val="TOC1"/>
            <w:tabs>
              <w:tab w:val="right" w:leader="dot" w:pos="9360"/>
            </w:tabs>
          </w:pPr>
          <w:hyperlink w:anchor="_Toc11866" w:history="1">
            <w:r>
              <w:t>APPENDICES</w:t>
            </w:r>
            <w:r>
              <w:tab/>
            </w:r>
            <w:r>
              <w:fldChar w:fldCharType="begin"/>
            </w:r>
            <w:r>
              <w:instrText xml:space="preserve"> PAGEREF _Toc11866 \h </w:instrText>
            </w:r>
            <w:r>
              <w:fldChar w:fldCharType="separate"/>
            </w:r>
            <w:r>
              <w:t>93</w:t>
            </w:r>
            <w:r>
              <w:fldChar w:fldCharType="end"/>
            </w:r>
          </w:hyperlink>
        </w:p>
        <w:p w14:paraId="32A17BCC" w14:textId="77777777" w:rsidR="0099599B" w:rsidRDefault="00EB7A3F">
          <w:pPr>
            <w:pStyle w:val="TOC2"/>
            <w:tabs>
              <w:tab w:val="right" w:leader="dot" w:pos="9360"/>
            </w:tabs>
            <w:ind w:left="480"/>
          </w:pPr>
          <w:hyperlink w:anchor="_Toc29321" w:history="1">
            <w:r>
              <w:t>Appendice 1 – Matrix of Function</w:t>
            </w:r>
            <w:r>
              <w:tab/>
            </w:r>
            <w:r>
              <w:fldChar w:fldCharType="begin"/>
            </w:r>
            <w:r>
              <w:instrText xml:space="preserve"> PAGEREF _Toc29321 \h </w:instrText>
            </w:r>
            <w:r>
              <w:fldChar w:fldCharType="separate"/>
            </w:r>
            <w:r>
              <w:t>93</w:t>
            </w:r>
            <w:r>
              <w:fldChar w:fldCharType="end"/>
            </w:r>
          </w:hyperlink>
        </w:p>
        <w:p w14:paraId="78170BF6" w14:textId="77777777" w:rsidR="0099599B" w:rsidRDefault="00EB7A3F">
          <w:pPr>
            <w:pStyle w:val="TOC2"/>
            <w:tabs>
              <w:tab w:val="right" w:leader="dot" w:pos="9360"/>
            </w:tabs>
            <w:ind w:left="480"/>
          </w:pPr>
          <w:hyperlink w:anchor="_Toc8486" w:history="1">
            <w:r>
              <w:t>Appendix 2 – Variables for LVI</w:t>
            </w:r>
            <w:r>
              <w:tab/>
            </w:r>
            <w:r>
              <w:fldChar w:fldCharType="begin"/>
            </w:r>
            <w:r>
              <w:instrText xml:space="preserve"> PAGEREF _Toc8486 \h </w:instrText>
            </w:r>
            <w:r>
              <w:fldChar w:fldCharType="separate"/>
            </w:r>
            <w:r>
              <w:t>97</w:t>
            </w:r>
            <w:r>
              <w:fldChar w:fldCharType="end"/>
            </w:r>
          </w:hyperlink>
        </w:p>
        <w:p w14:paraId="2732C7D1" w14:textId="77777777" w:rsidR="0099599B" w:rsidRDefault="00EB7A3F">
          <w:pPr>
            <w:pStyle w:val="TOC2"/>
            <w:tabs>
              <w:tab w:val="right" w:leader="dot" w:pos="9360"/>
            </w:tabs>
            <w:ind w:left="480"/>
          </w:pPr>
          <w:hyperlink w:anchor="_Toc17410" w:history="1">
            <w:r>
              <w:t>Appendix 3 – Sectoral LVI Variables</w:t>
            </w:r>
            <w:r>
              <w:tab/>
            </w:r>
            <w:r>
              <w:fldChar w:fldCharType="begin"/>
            </w:r>
            <w:r>
              <w:instrText xml:space="preserve"> PAGEREF _Toc17410 \h </w:instrText>
            </w:r>
            <w:r>
              <w:fldChar w:fldCharType="separate"/>
            </w:r>
            <w:r>
              <w:t>101</w:t>
            </w:r>
            <w:r>
              <w:fldChar w:fldCharType="end"/>
            </w:r>
          </w:hyperlink>
        </w:p>
        <w:p w14:paraId="622862AF" w14:textId="77777777" w:rsidR="0099599B" w:rsidRDefault="00EB7A3F">
          <w:pPr>
            <w:rPr>
              <w:b/>
            </w:rPr>
          </w:pPr>
          <w:r>
            <w:fldChar w:fldCharType="end"/>
          </w:r>
        </w:p>
      </w:sdtContent>
    </w:sdt>
    <w:p w14:paraId="425EB189" w14:textId="77777777" w:rsidR="0099599B" w:rsidRDefault="0099599B">
      <w:pPr>
        <w:rPr>
          <w:b/>
        </w:rPr>
      </w:pPr>
    </w:p>
    <w:p w14:paraId="45CDA611" w14:textId="77777777" w:rsidR="0099599B" w:rsidRDefault="0099599B"/>
    <w:p w14:paraId="7D68B715" w14:textId="77777777" w:rsidR="0099599B" w:rsidRDefault="0099599B"/>
    <w:p w14:paraId="3544A9D3" w14:textId="77777777" w:rsidR="0099599B" w:rsidRDefault="0099599B"/>
    <w:p w14:paraId="2633CD9C" w14:textId="77777777" w:rsidR="0099599B" w:rsidRDefault="0099599B"/>
    <w:p w14:paraId="2C6397DD" w14:textId="77777777" w:rsidR="0099599B" w:rsidRDefault="0099599B"/>
    <w:p w14:paraId="03C5C9FD" w14:textId="77777777" w:rsidR="0099599B" w:rsidRDefault="0099599B"/>
    <w:p w14:paraId="55E29413" w14:textId="77777777" w:rsidR="0099599B" w:rsidRDefault="0099599B"/>
    <w:p w14:paraId="70577A56" w14:textId="77777777" w:rsidR="0099599B" w:rsidRDefault="0099599B"/>
    <w:p w14:paraId="66FD227C" w14:textId="77777777" w:rsidR="0099599B" w:rsidRDefault="0099599B"/>
    <w:p w14:paraId="1820E8F5" w14:textId="77777777" w:rsidR="0099599B" w:rsidRDefault="0099599B"/>
    <w:p w14:paraId="4195C6C9" w14:textId="77777777" w:rsidR="0099599B" w:rsidRDefault="0099599B"/>
    <w:p w14:paraId="29F7E74F" w14:textId="77777777" w:rsidR="0099599B" w:rsidRDefault="0099599B"/>
    <w:p w14:paraId="267196D2" w14:textId="77777777" w:rsidR="0099599B" w:rsidRDefault="00EB7A3F">
      <w:r>
        <w:br w:type="page"/>
      </w:r>
    </w:p>
    <w:p w14:paraId="6EB3B6F3" w14:textId="77777777" w:rsidR="0099599B" w:rsidRDefault="00EB7A3F">
      <w:pPr>
        <w:pStyle w:val="Heading1"/>
      </w:pPr>
      <w:bookmarkStart w:id="2" w:name="_Toc10295"/>
      <w:r>
        <w:lastRenderedPageBreak/>
        <w:t>List of figures</w:t>
      </w:r>
      <w:bookmarkEnd w:id="2"/>
      <w:r>
        <w:tab/>
      </w:r>
    </w:p>
    <w:p w14:paraId="7F7E7F1C" w14:textId="77777777" w:rsidR="0099599B" w:rsidRDefault="00EB7A3F">
      <w:pPr>
        <w:pStyle w:val="TableofFigures"/>
        <w:tabs>
          <w:tab w:val="right" w:leader="dot" w:pos="9360"/>
        </w:tabs>
        <w:ind w:left="960" w:hanging="480"/>
      </w:pPr>
      <w:r>
        <w:fldChar w:fldCharType="begin"/>
      </w:r>
      <w:r>
        <w:instrText>TOC \h \c "Figure"</w:instrText>
      </w:r>
      <w:r>
        <w:fldChar w:fldCharType="separate"/>
      </w:r>
      <w:hyperlink w:anchor="_Toc5642" w:history="1">
        <w:r>
          <w:t xml:space="preserve">Figure 1 </w:t>
        </w:r>
        <w:r>
          <w:rPr>
            <w:rFonts w:eastAsia="SimSun"/>
            <w:kern w:val="0"/>
            <w14:ligatures w14:val="none"/>
          </w:rPr>
          <w:t>:</w:t>
        </w:r>
        <w:r>
          <w:rPr>
            <w:rFonts w:eastAsia="SimSun"/>
            <w:kern w:val="0"/>
            <w14:ligatures w14:val="none"/>
          </w:rPr>
          <w:t xml:space="preserve"> The Vulnerability Assessment </w:t>
        </w:r>
        <w:r>
          <w:rPr>
            <w:rFonts w:eastAsia="SimSun"/>
            <w:kern w:val="0"/>
            <w14:ligatures w14:val="none"/>
          </w:rPr>
          <w:t>P</w:t>
        </w:r>
        <w:r>
          <w:rPr>
            <w:rFonts w:eastAsia="SimSun"/>
            <w:kern w:val="0"/>
            <w14:ligatures w14:val="none"/>
          </w:rPr>
          <w:t>rocess</w:t>
        </w:r>
        <w:r>
          <w:tab/>
        </w:r>
        <w:r>
          <w:fldChar w:fldCharType="begin"/>
        </w:r>
        <w:r>
          <w:instrText xml:space="preserve"> PAGEREF _Toc5642 \h </w:instrText>
        </w:r>
        <w:r>
          <w:fldChar w:fldCharType="separate"/>
        </w:r>
        <w:r>
          <w:t>9</w:t>
        </w:r>
        <w:r>
          <w:fldChar w:fldCharType="end"/>
        </w:r>
      </w:hyperlink>
    </w:p>
    <w:p w14:paraId="32DF58AC" w14:textId="77777777" w:rsidR="0099599B" w:rsidRDefault="00EB7A3F">
      <w:pPr>
        <w:pStyle w:val="TableofFigures"/>
        <w:tabs>
          <w:tab w:val="right" w:leader="dot" w:pos="9360"/>
        </w:tabs>
        <w:ind w:left="960" w:hanging="480"/>
      </w:pPr>
      <w:hyperlink w:anchor="_Toc15374" w:history="1">
        <w:r>
          <w:t xml:space="preserve">Figure 2 </w:t>
        </w:r>
        <w:r>
          <w:t>: Map of Ada East District (Source: Ghana Statistical Service, GIS)</w:t>
        </w:r>
        <w:r>
          <w:tab/>
        </w:r>
        <w:r>
          <w:fldChar w:fldCharType="begin"/>
        </w:r>
        <w:r>
          <w:instrText xml:space="preserve"> PAGEREF _Toc15374 \h </w:instrText>
        </w:r>
        <w:r>
          <w:fldChar w:fldCharType="separate"/>
        </w:r>
        <w:r>
          <w:t>13</w:t>
        </w:r>
        <w:r>
          <w:fldChar w:fldCharType="end"/>
        </w:r>
      </w:hyperlink>
    </w:p>
    <w:p w14:paraId="3D598FEF" w14:textId="77777777" w:rsidR="0099599B" w:rsidRDefault="00EB7A3F">
      <w:pPr>
        <w:pStyle w:val="TableofFigures"/>
        <w:tabs>
          <w:tab w:val="right" w:leader="dot" w:pos="9360"/>
        </w:tabs>
        <w:ind w:left="960" w:hanging="480"/>
      </w:pPr>
      <w:hyperlink w:anchor="_Toc24614" w:history="1">
        <w:r>
          <w:t xml:space="preserve">Figure 3 </w:t>
        </w:r>
        <w:r>
          <w:rPr>
            <w:lang w:eastAsia="en-GB"/>
          </w:rPr>
          <w:t>: Age Distribution of Population In Ada East Dstrict</w:t>
        </w:r>
        <w:r>
          <w:tab/>
        </w:r>
        <w:r>
          <w:fldChar w:fldCharType="begin"/>
        </w:r>
        <w:r>
          <w:instrText xml:space="preserve"> PAGEREF _Toc24614 \h </w:instrText>
        </w:r>
        <w:r>
          <w:fldChar w:fldCharType="separate"/>
        </w:r>
        <w:r>
          <w:t>14</w:t>
        </w:r>
        <w:r>
          <w:fldChar w:fldCharType="end"/>
        </w:r>
      </w:hyperlink>
    </w:p>
    <w:p w14:paraId="2FF3884F" w14:textId="77777777" w:rsidR="0099599B" w:rsidRDefault="00EB7A3F">
      <w:pPr>
        <w:pStyle w:val="TableofFigures"/>
        <w:tabs>
          <w:tab w:val="right" w:leader="dot" w:pos="9360"/>
        </w:tabs>
        <w:ind w:left="960" w:hanging="480"/>
      </w:pPr>
      <w:hyperlink w:anchor="_Toc13093" w:history="1">
        <w:r>
          <w:t xml:space="preserve">Figure 4 </w:t>
        </w:r>
        <w:r>
          <w:rPr>
            <w:lang w:eastAsia="en-GB"/>
          </w:rPr>
          <w:t>: Digitalised image of stakeholder (group) representation of district seasonal calendar</w:t>
        </w:r>
        <w:r>
          <w:tab/>
        </w:r>
        <w:r>
          <w:fldChar w:fldCharType="begin"/>
        </w:r>
        <w:r>
          <w:instrText xml:space="preserve"> PAGEREF _Toc13093 \h </w:instrText>
        </w:r>
        <w:r>
          <w:fldChar w:fldCharType="separate"/>
        </w:r>
        <w:r>
          <w:t>22</w:t>
        </w:r>
        <w:r>
          <w:fldChar w:fldCharType="end"/>
        </w:r>
      </w:hyperlink>
    </w:p>
    <w:p w14:paraId="2CC1194A" w14:textId="77777777" w:rsidR="0099599B" w:rsidRDefault="00EB7A3F">
      <w:pPr>
        <w:pStyle w:val="TableofFigures"/>
        <w:tabs>
          <w:tab w:val="right" w:leader="dot" w:pos="9360"/>
        </w:tabs>
        <w:ind w:left="960" w:hanging="480"/>
      </w:pPr>
      <w:hyperlink w:anchor="_Toc29201" w:history="1">
        <w:r>
          <w:t>Figure 5 : Images of Stakeholders at District-Specific Vulnerability Assessment Validation of Adaptation Strategies Workshop workshop organised on April 29th, 2025</w:t>
        </w:r>
        <w:r>
          <w:tab/>
        </w:r>
        <w:r>
          <w:fldChar w:fldCharType="begin"/>
        </w:r>
        <w:r>
          <w:instrText xml:space="preserve"> PAGEREF _Toc29201 \h </w:instrText>
        </w:r>
        <w:r>
          <w:fldChar w:fldCharType="separate"/>
        </w:r>
        <w:r>
          <w:t>24</w:t>
        </w:r>
        <w:r>
          <w:fldChar w:fldCharType="end"/>
        </w:r>
      </w:hyperlink>
    </w:p>
    <w:p w14:paraId="06F3F684" w14:textId="77777777" w:rsidR="0099599B" w:rsidRDefault="00EB7A3F">
      <w:pPr>
        <w:pStyle w:val="TableofFigures"/>
        <w:tabs>
          <w:tab w:val="right" w:leader="dot" w:pos="9360"/>
        </w:tabs>
        <w:ind w:left="960" w:hanging="480"/>
      </w:pPr>
      <w:hyperlink w:anchor="_Toc5190" w:history="1">
        <w:r>
          <w:t xml:space="preserve">Figure 6 </w:t>
        </w:r>
        <w:r>
          <w:t xml:space="preserve">: </w:t>
        </w:r>
        <w:r>
          <w:t>Visualisations of critical infrastructure, key resources and vulnerable areas, Ada East District</w:t>
        </w:r>
        <w:r>
          <w:tab/>
        </w:r>
        <w:r>
          <w:fldChar w:fldCharType="begin"/>
        </w:r>
        <w:r>
          <w:instrText xml:space="preserve"> PAGEREF _Toc5190 \h </w:instrText>
        </w:r>
        <w:r>
          <w:fldChar w:fldCharType="separate"/>
        </w:r>
        <w:r>
          <w:t>35</w:t>
        </w:r>
        <w:r>
          <w:fldChar w:fldCharType="end"/>
        </w:r>
      </w:hyperlink>
    </w:p>
    <w:p w14:paraId="5844D622" w14:textId="77777777" w:rsidR="0099599B" w:rsidRDefault="00EB7A3F">
      <w:pPr>
        <w:pStyle w:val="TableofFigures"/>
        <w:tabs>
          <w:tab w:val="right" w:leader="dot" w:pos="9360"/>
        </w:tabs>
        <w:ind w:left="960" w:hanging="480"/>
      </w:pPr>
      <w:hyperlink w:anchor="_Toc20440" w:history="1">
        <w:r>
          <w:t xml:space="preserve">Figure 7 </w:t>
        </w:r>
        <w:r>
          <w:t>: Stakeholders Ranking on the Impact of Climate Hazards on Gender groups</w:t>
        </w:r>
        <w:r>
          <w:tab/>
        </w:r>
        <w:r>
          <w:fldChar w:fldCharType="begin"/>
        </w:r>
        <w:r>
          <w:instrText xml:space="preserve"> PAGEREF _Toc20440 \h </w:instrText>
        </w:r>
        <w:r>
          <w:fldChar w:fldCharType="separate"/>
        </w:r>
        <w:r>
          <w:t>39</w:t>
        </w:r>
        <w:r>
          <w:fldChar w:fldCharType="end"/>
        </w:r>
      </w:hyperlink>
    </w:p>
    <w:p w14:paraId="63D7A852" w14:textId="77777777" w:rsidR="0099599B" w:rsidRDefault="00EB7A3F">
      <w:pPr>
        <w:pStyle w:val="TableofFigures"/>
        <w:tabs>
          <w:tab w:val="right" w:leader="dot" w:pos="9360"/>
        </w:tabs>
        <w:ind w:left="960" w:hanging="480"/>
      </w:pPr>
      <w:hyperlink w:anchor="_Toc19957" w:history="1">
        <w:r>
          <w:t>Figure 8 :  Grouping of major and subcomponents/indicators into LVI and LVI–IPCC</w:t>
        </w:r>
        <w:r>
          <w:tab/>
        </w:r>
        <w:r>
          <w:fldChar w:fldCharType="begin"/>
        </w:r>
        <w:r>
          <w:instrText xml:space="preserve"> PAGEREF _Toc19957 \h </w:instrText>
        </w:r>
        <w:r>
          <w:fldChar w:fldCharType="separate"/>
        </w:r>
        <w:r>
          <w:t>47</w:t>
        </w:r>
        <w:r>
          <w:fldChar w:fldCharType="end"/>
        </w:r>
      </w:hyperlink>
    </w:p>
    <w:p w14:paraId="6361470D" w14:textId="77777777" w:rsidR="0099599B" w:rsidRDefault="00EB7A3F">
      <w:pPr>
        <w:pStyle w:val="TableofFigures"/>
        <w:tabs>
          <w:tab w:val="right" w:leader="dot" w:pos="9360"/>
        </w:tabs>
        <w:ind w:left="960" w:hanging="480"/>
      </w:pPr>
      <w:hyperlink w:anchor="_Toc30543" w:history="1">
        <w:r>
          <w:rPr>
            <w:rFonts w:ascii="Arial" w:eastAsia="SimHei" w:hAnsi="Arial" w:cs="Arial"/>
            <w:i/>
            <w:iCs/>
          </w:rPr>
          <w:t xml:space="preserve">Figure </w:t>
        </w:r>
        <w:r>
          <w:t xml:space="preserve">9 </w:t>
        </w:r>
        <w:r>
          <w:rPr>
            <w:rFonts w:ascii="Arial" w:eastAsia="SimHei" w:hAnsi="Arial" w:cs="Arial"/>
            <w:i/>
            <w:iCs/>
          </w:rPr>
          <w:t>: Levels of education across communitties in Ada East District</w:t>
        </w:r>
        <w:r>
          <w:tab/>
        </w:r>
        <w:r>
          <w:fldChar w:fldCharType="begin"/>
        </w:r>
        <w:r>
          <w:instrText xml:space="preserve"> PAGEREF _Toc30543 \h </w:instrText>
        </w:r>
        <w:r>
          <w:fldChar w:fldCharType="separate"/>
        </w:r>
        <w:r>
          <w:t>50</w:t>
        </w:r>
        <w:r>
          <w:fldChar w:fldCharType="end"/>
        </w:r>
      </w:hyperlink>
    </w:p>
    <w:p w14:paraId="25EFA1D4" w14:textId="77777777" w:rsidR="0099599B" w:rsidRDefault="00EB7A3F">
      <w:pPr>
        <w:pStyle w:val="TableofFigures"/>
        <w:tabs>
          <w:tab w:val="right" w:leader="dot" w:pos="9360"/>
        </w:tabs>
        <w:ind w:left="960" w:hanging="480"/>
      </w:pPr>
      <w:hyperlink w:anchor="_Toc16598" w:history="1">
        <w:r>
          <w:rPr>
            <w:rFonts w:ascii="Arial" w:eastAsia="SimHei" w:hAnsi="Arial" w:cs="Arial"/>
            <w:i/>
            <w:iCs/>
          </w:rPr>
          <w:t xml:space="preserve">Figure </w:t>
        </w:r>
        <w:r>
          <w:t xml:space="preserve">10 </w:t>
        </w:r>
        <w:r>
          <w:rPr>
            <w:rFonts w:ascii="Arial" w:eastAsia="SimHei" w:hAnsi="Arial" w:cs="Arial"/>
            <w:i/>
            <w:iCs/>
          </w:rPr>
          <w:t>: Primary occupation of respondents</w:t>
        </w:r>
        <w:r>
          <w:tab/>
        </w:r>
        <w:r>
          <w:fldChar w:fldCharType="begin"/>
        </w:r>
        <w:r>
          <w:instrText xml:space="preserve"> PAGEREF _Toc16598 \h </w:instrText>
        </w:r>
        <w:r>
          <w:fldChar w:fldCharType="separate"/>
        </w:r>
        <w:r>
          <w:t>51</w:t>
        </w:r>
        <w:r>
          <w:fldChar w:fldCharType="end"/>
        </w:r>
      </w:hyperlink>
    </w:p>
    <w:p w14:paraId="75200F44" w14:textId="77777777" w:rsidR="0099599B" w:rsidRDefault="00EB7A3F">
      <w:pPr>
        <w:pStyle w:val="TableofFigures"/>
        <w:tabs>
          <w:tab w:val="right" w:leader="dot" w:pos="9360"/>
        </w:tabs>
        <w:ind w:left="960" w:hanging="480"/>
      </w:pPr>
      <w:hyperlink w:anchor="_Toc25419" w:history="1">
        <w:r>
          <w:t>Figure 11 : Household dependents</w:t>
        </w:r>
        <w:r>
          <w:tab/>
        </w:r>
        <w:r>
          <w:fldChar w:fldCharType="begin"/>
        </w:r>
        <w:r>
          <w:instrText xml:space="preserve"> PAGEREF _Toc25419 \h </w:instrText>
        </w:r>
        <w:r>
          <w:fldChar w:fldCharType="separate"/>
        </w:r>
        <w:r>
          <w:t>52</w:t>
        </w:r>
        <w:r>
          <w:fldChar w:fldCharType="end"/>
        </w:r>
      </w:hyperlink>
    </w:p>
    <w:p w14:paraId="69F687F4" w14:textId="77777777" w:rsidR="0099599B" w:rsidRDefault="00EB7A3F">
      <w:pPr>
        <w:pStyle w:val="TableofFigures"/>
        <w:tabs>
          <w:tab w:val="right" w:leader="dot" w:pos="9360"/>
        </w:tabs>
        <w:ind w:left="960" w:hanging="480"/>
      </w:pPr>
      <w:hyperlink w:anchor="_Toc31866" w:history="1">
        <w:r>
          <w:rPr>
            <w:rFonts w:ascii="Arial" w:eastAsia="SimHei" w:hAnsi="Arial" w:cs="Arial"/>
            <w:i/>
            <w:iCs/>
          </w:rPr>
          <w:t xml:space="preserve">Figure </w:t>
        </w:r>
        <w:r>
          <w:t xml:space="preserve">12 </w:t>
        </w:r>
        <w:r>
          <w:rPr>
            <w:rFonts w:ascii="Arial" w:eastAsia="SimHei" w:hAnsi="Arial" w:cs="Arial"/>
            <w:i/>
            <w:iCs/>
          </w:rPr>
          <w:t>: Period of stay in communities</w:t>
        </w:r>
        <w:r>
          <w:tab/>
        </w:r>
        <w:r>
          <w:fldChar w:fldCharType="begin"/>
        </w:r>
        <w:r>
          <w:instrText xml:space="preserve"> PAGEREF _Toc31866 \h </w:instrText>
        </w:r>
        <w:r>
          <w:fldChar w:fldCharType="separate"/>
        </w:r>
        <w:r>
          <w:t>53</w:t>
        </w:r>
        <w:r>
          <w:fldChar w:fldCharType="end"/>
        </w:r>
      </w:hyperlink>
    </w:p>
    <w:p w14:paraId="31CA9D58" w14:textId="77777777" w:rsidR="0099599B" w:rsidRDefault="00EB7A3F">
      <w:pPr>
        <w:pStyle w:val="TableofFigures"/>
        <w:tabs>
          <w:tab w:val="right" w:leader="dot" w:pos="9360"/>
        </w:tabs>
        <w:ind w:left="960" w:hanging="480"/>
      </w:pPr>
      <w:hyperlink w:anchor="_Toc20242" w:history="1">
        <w:r>
          <w:rPr>
            <w:rFonts w:ascii="Arial" w:eastAsia="SimHei" w:hAnsi="Arial" w:cs="Arial"/>
            <w:i/>
            <w:iCs/>
          </w:rPr>
          <w:t xml:space="preserve">Figure </w:t>
        </w:r>
        <w:r>
          <w:t xml:space="preserve">13 </w:t>
        </w:r>
        <w:r>
          <w:rPr>
            <w:rFonts w:ascii="Arial" w:eastAsia="SimHei" w:hAnsi="Arial" w:cs="Arial"/>
            <w:i/>
            <w:iCs/>
          </w:rPr>
          <w:t>: Household Members Working Outside</w:t>
        </w:r>
        <w:r>
          <w:tab/>
        </w:r>
        <w:r>
          <w:fldChar w:fldCharType="begin"/>
        </w:r>
        <w:r>
          <w:instrText xml:space="preserve"> PAGEREF _Toc20242 \h </w:instrText>
        </w:r>
        <w:r>
          <w:fldChar w:fldCharType="separate"/>
        </w:r>
        <w:r>
          <w:t>54</w:t>
        </w:r>
        <w:r>
          <w:fldChar w:fldCharType="end"/>
        </w:r>
      </w:hyperlink>
    </w:p>
    <w:p w14:paraId="4502FC8E" w14:textId="77777777" w:rsidR="0099599B" w:rsidRDefault="00EB7A3F">
      <w:pPr>
        <w:pStyle w:val="TableofFigures"/>
        <w:tabs>
          <w:tab w:val="right" w:leader="dot" w:pos="9360"/>
        </w:tabs>
        <w:ind w:left="960" w:hanging="480"/>
      </w:pPr>
      <w:hyperlink w:anchor="_Toc15993" w:history="1">
        <w:r>
          <w:t xml:space="preserve">Figure 14 : IPCC-LVI </w:t>
        </w:r>
        <w:r>
          <w:rPr>
            <w:lang w:val="en-GB"/>
          </w:rPr>
          <w:t xml:space="preserve">heat map </w:t>
        </w:r>
        <w:r>
          <w:t>for economic sectors in Ada East District</w:t>
        </w:r>
        <w:r>
          <w:tab/>
        </w:r>
        <w:r>
          <w:fldChar w:fldCharType="begin"/>
        </w:r>
        <w:r>
          <w:instrText xml:space="preserve"> PAGEREF _Toc15993 \h </w:instrText>
        </w:r>
        <w:r>
          <w:fldChar w:fldCharType="separate"/>
        </w:r>
        <w:r>
          <w:t>62</w:t>
        </w:r>
        <w:r>
          <w:fldChar w:fldCharType="end"/>
        </w:r>
      </w:hyperlink>
    </w:p>
    <w:p w14:paraId="1E9FA749" w14:textId="77777777" w:rsidR="0099599B" w:rsidRDefault="00EB7A3F">
      <w:pPr>
        <w:pStyle w:val="TableofFigures"/>
        <w:tabs>
          <w:tab w:val="right" w:leader="dot" w:pos="9360"/>
        </w:tabs>
        <w:ind w:left="960" w:hanging="480"/>
      </w:pPr>
      <w:hyperlink w:anchor="_Toc19984" w:history="1">
        <w:r>
          <w:t xml:space="preserve">Figure 15 </w:t>
        </w:r>
        <w:r>
          <w:rPr>
            <w:lang w:eastAsia="en-GB"/>
          </w:rPr>
          <w:t>: IPCC-LVI heat map of Communities’ Vulnerability</w:t>
        </w:r>
        <w:r>
          <w:tab/>
        </w:r>
        <w:r>
          <w:fldChar w:fldCharType="begin"/>
        </w:r>
        <w:r>
          <w:instrText xml:space="preserve"> PAGEREF _Toc19984 \h </w:instrText>
        </w:r>
        <w:r>
          <w:fldChar w:fldCharType="separate"/>
        </w:r>
        <w:r>
          <w:t>62</w:t>
        </w:r>
        <w:r>
          <w:fldChar w:fldCharType="end"/>
        </w:r>
      </w:hyperlink>
    </w:p>
    <w:p w14:paraId="6DE14ADF" w14:textId="77777777" w:rsidR="0099599B" w:rsidRDefault="00EB7A3F">
      <w:pPr>
        <w:pStyle w:val="TableofFigures"/>
        <w:tabs>
          <w:tab w:val="right" w:leader="dot" w:pos="9360"/>
        </w:tabs>
        <w:ind w:left="960" w:hanging="480"/>
      </w:pPr>
      <w:hyperlink w:anchor="_Toc26561" w:history="1">
        <w:r>
          <w:t xml:space="preserve">Figure 16 : Climate Exposure of Ada East </w:t>
        </w:r>
        <w:r>
          <w:tab/>
        </w:r>
        <w:r>
          <w:fldChar w:fldCharType="begin"/>
        </w:r>
        <w:r>
          <w:instrText xml:space="preserve"> PAGEREF _Toc26561 \h </w:instrText>
        </w:r>
        <w:r>
          <w:fldChar w:fldCharType="separate"/>
        </w:r>
        <w:r>
          <w:t>67</w:t>
        </w:r>
        <w:r>
          <w:fldChar w:fldCharType="end"/>
        </w:r>
      </w:hyperlink>
    </w:p>
    <w:p w14:paraId="7702456B" w14:textId="77777777" w:rsidR="0099599B" w:rsidRDefault="00EB7A3F">
      <w:pPr>
        <w:pStyle w:val="TableofFigures"/>
        <w:tabs>
          <w:tab w:val="right" w:leader="dot" w:pos="9360"/>
        </w:tabs>
        <w:ind w:left="960" w:hanging="480"/>
      </w:pPr>
      <w:hyperlink w:anchor="_Toc3020" w:history="1">
        <w:r>
          <w:t>Figure 17 : Climate Sensitivity of Ada East District - Heat map</w:t>
        </w:r>
        <w:r>
          <w:tab/>
        </w:r>
        <w:r>
          <w:fldChar w:fldCharType="begin"/>
        </w:r>
        <w:r>
          <w:instrText xml:space="preserve"> PAGEREF _Toc3020 \h </w:instrText>
        </w:r>
        <w:r>
          <w:fldChar w:fldCharType="separate"/>
        </w:r>
        <w:r>
          <w:t>68</w:t>
        </w:r>
        <w:r>
          <w:fldChar w:fldCharType="end"/>
        </w:r>
      </w:hyperlink>
    </w:p>
    <w:p w14:paraId="2D2E162E" w14:textId="77777777" w:rsidR="0099599B" w:rsidRDefault="00EB7A3F">
      <w:pPr>
        <w:pStyle w:val="TableofFigures"/>
        <w:tabs>
          <w:tab w:val="right" w:leader="dot" w:pos="9360"/>
        </w:tabs>
        <w:ind w:left="960" w:hanging="480"/>
      </w:pPr>
      <w:hyperlink w:anchor="_Toc23597" w:history="1">
        <w:r>
          <w:t>Figure 18 : Adaptive Capacity Heat Map of Ada East District</w:t>
        </w:r>
        <w:r>
          <w:tab/>
        </w:r>
        <w:r>
          <w:fldChar w:fldCharType="begin"/>
        </w:r>
        <w:r>
          <w:instrText xml:space="preserve"> PAGEREF _Toc23597 \h </w:instrText>
        </w:r>
        <w:r>
          <w:fldChar w:fldCharType="separate"/>
        </w:r>
        <w:r>
          <w:t>69</w:t>
        </w:r>
        <w:r>
          <w:fldChar w:fldCharType="end"/>
        </w:r>
      </w:hyperlink>
    </w:p>
    <w:p w14:paraId="5C15A35F" w14:textId="77777777" w:rsidR="0099599B" w:rsidRDefault="00EB7A3F">
      <w:pPr>
        <w:pStyle w:val="TableofFigures"/>
        <w:tabs>
          <w:tab w:val="right" w:leader="dot" w:pos="9360"/>
        </w:tabs>
        <w:ind w:left="960" w:hanging="480"/>
      </w:pPr>
      <w:hyperlink w:anchor="_Toc18458" w:history="1">
        <w:r>
          <w:t xml:space="preserve">Figure 19 </w:t>
        </w:r>
        <w:r>
          <w:rPr>
            <w:lang w:eastAsia="en-GB"/>
          </w:rPr>
          <w:t>: Household Dec</w:t>
        </w:r>
        <w:r>
          <w:rPr>
            <w:lang w:eastAsia="en-GB"/>
          </w:rPr>
          <w:t>is</w:t>
        </w:r>
        <w:r>
          <w:rPr>
            <w:lang w:eastAsia="en-GB"/>
          </w:rPr>
          <w:t>ion Making</w:t>
        </w:r>
        <w:r>
          <w:tab/>
        </w:r>
        <w:r>
          <w:fldChar w:fldCharType="begin"/>
        </w:r>
        <w:r>
          <w:instrText xml:space="preserve"> PAGEREF _Toc18458 \h </w:instrText>
        </w:r>
        <w:r>
          <w:fldChar w:fldCharType="separate"/>
        </w:r>
        <w:r>
          <w:t>70</w:t>
        </w:r>
        <w:r>
          <w:fldChar w:fldCharType="end"/>
        </w:r>
      </w:hyperlink>
    </w:p>
    <w:p w14:paraId="45296A59" w14:textId="77777777" w:rsidR="0099599B" w:rsidRDefault="00EB7A3F">
      <w:pPr>
        <w:pStyle w:val="TableofFigures"/>
        <w:tabs>
          <w:tab w:val="right" w:leader="dot" w:pos="9360"/>
        </w:tabs>
        <w:ind w:left="960" w:hanging="480"/>
      </w:pPr>
      <w:hyperlink w:anchor="_Toc90" w:history="1">
        <w:r>
          <w:t xml:space="preserve">Figure 20 </w:t>
        </w:r>
        <w:r>
          <w:rPr>
            <w:lang w:eastAsia="en-GB"/>
          </w:rPr>
          <w:t>:</w:t>
        </w:r>
        <w:r>
          <w:rPr>
            <w:lang w:eastAsia="en-GB"/>
          </w:rPr>
          <w:t xml:space="preserve"> </w:t>
        </w:r>
        <w:r>
          <w:rPr>
            <w:lang w:eastAsia="en-GB"/>
          </w:rPr>
          <w:t>Household Tasks roles and responsibility</w:t>
        </w:r>
        <w:r>
          <w:tab/>
        </w:r>
        <w:r>
          <w:fldChar w:fldCharType="begin"/>
        </w:r>
        <w:r>
          <w:instrText xml:space="preserve"> PAGEREF _Toc90 \h </w:instrText>
        </w:r>
        <w:r>
          <w:fldChar w:fldCharType="separate"/>
        </w:r>
        <w:r>
          <w:t>71</w:t>
        </w:r>
        <w:r>
          <w:fldChar w:fldCharType="end"/>
        </w:r>
      </w:hyperlink>
    </w:p>
    <w:p w14:paraId="60E1B551" w14:textId="77777777" w:rsidR="0099599B" w:rsidRDefault="00EB7A3F">
      <w:pPr>
        <w:pStyle w:val="TableofFigures"/>
        <w:tabs>
          <w:tab w:val="right" w:leader="dot" w:pos="9360"/>
        </w:tabs>
        <w:ind w:left="960" w:hanging="480"/>
      </w:pPr>
      <w:hyperlink w:anchor="_Toc25489" w:history="1">
        <w:r>
          <w:t xml:space="preserve">Figure 21 </w:t>
        </w:r>
        <w:r>
          <w:rPr>
            <w:lang w:eastAsia="en-GB"/>
          </w:rPr>
          <w:t>: Women Climate Adaptive Capacity</w:t>
        </w:r>
        <w:r>
          <w:tab/>
        </w:r>
        <w:r>
          <w:fldChar w:fldCharType="begin"/>
        </w:r>
        <w:r>
          <w:instrText xml:space="preserve"> PAGEREF _Toc25489 \h </w:instrText>
        </w:r>
        <w:r>
          <w:fldChar w:fldCharType="separate"/>
        </w:r>
        <w:r>
          <w:t>72</w:t>
        </w:r>
        <w:r>
          <w:fldChar w:fldCharType="end"/>
        </w:r>
      </w:hyperlink>
    </w:p>
    <w:p w14:paraId="4DF5CE39" w14:textId="77777777" w:rsidR="0099599B" w:rsidRDefault="00EB7A3F">
      <w:pPr>
        <w:pStyle w:val="TableofFigures"/>
        <w:tabs>
          <w:tab w:val="right" w:leader="dot" w:pos="9360"/>
        </w:tabs>
        <w:ind w:left="960" w:hanging="480"/>
      </w:pPr>
      <w:hyperlink w:anchor="_Toc18870" w:history="1">
        <w:r>
          <w:t xml:space="preserve">Figure 22 </w:t>
        </w:r>
        <w:r>
          <w:rPr>
            <w:lang w:eastAsia="en-GB"/>
          </w:rPr>
          <w:t>: Access to resources</w:t>
        </w:r>
        <w:r>
          <w:tab/>
        </w:r>
        <w:r>
          <w:fldChar w:fldCharType="begin"/>
        </w:r>
        <w:r>
          <w:instrText xml:space="preserve"> PAGEREF _Toc18870 \h </w:instrText>
        </w:r>
        <w:r>
          <w:fldChar w:fldCharType="separate"/>
        </w:r>
        <w:r>
          <w:t>73</w:t>
        </w:r>
        <w:r>
          <w:fldChar w:fldCharType="end"/>
        </w:r>
      </w:hyperlink>
    </w:p>
    <w:p w14:paraId="69F54CD4" w14:textId="77777777" w:rsidR="0099599B" w:rsidRDefault="00EB7A3F">
      <w:pPr>
        <w:pStyle w:val="TableofFigures"/>
        <w:tabs>
          <w:tab w:val="right" w:leader="dot" w:pos="9360"/>
        </w:tabs>
        <w:ind w:left="960" w:hanging="480"/>
      </w:pPr>
      <w:hyperlink w:anchor="_Toc4159" w:history="1">
        <w:r>
          <w:t>Figure 23 : Yearly RainfallTrend (Downscaled)</w:t>
        </w:r>
        <w:r>
          <w:tab/>
        </w:r>
        <w:r>
          <w:fldChar w:fldCharType="begin"/>
        </w:r>
        <w:r>
          <w:instrText xml:space="preserve"> PAGEREF _Toc4159 \h </w:instrText>
        </w:r>
        <w:r>
          <w:fldChar w:fldCharType="separate"/>
        </w:r>
        <w:r>
          <w:t>76</w:t>
        </w:r>
        <w:r>
          <w:fldChar w:fldCharType="end"/>
        </w:r>
      </w:hyperlink>
    </w:p>
    <w:p w14:paraId="02913EFB" w14:textId="77777777" w:rsidR="0099599B" w:rsidRDefault="00EB7A3F">
      <w:pPr>
        <w:pStyle w:val="TableofFigures"/>
        <w:tabs>
          <w:tab w:val="right" w:leader="dot" w:pos="9360"/>
        </w:tabs>
        <w:ind w:left="960" w:hanging="480"/>
      </w:pPr>
      <w:hyperlink w:anchor="_Toc5337" w:history="1">
        <w:r>
          <w:t>Figure 24 : Precipitation indices trend (RR, Rx1, Rx5, R20mm, R95p, CDD, CWD, etc.)</w:t>
        </w:r>
        <w:r>
          <w:tab/>
        </w:r>
        <w:r>
          <w:fldChar w:fldCharType="begin"/>
        </w:r>
        <w:r>
          <w:instrText xml:space="preserve"> PAGEREF _Toc5337 \h </w:instrText>
        </w:r>
        <w:r>
          <w:fldChar w:fldCharType="separate"/>
        </w:r>
        <w:r>
          <w:t>76</w:t>
        </w:r>
        <w:r>
          <w:fldChar w:fldCharType="end"/>
        </w:r>
      </w:hyperlink>
    </w:p>
    <w:p w14:paraId="1929CE1F" w14:textId="77777777" w:rsidR="0099599B" w:rsidRDefault="00EB7A3F">
      <w:pPr>
        <w:pStyle w:val="TableofFigures"/>
        <w:tabs>
          <w:tab w:val="right" w:leader="dot" w:pos="9360"/>
        </w:tabs>
        <w:ind w:left="960" w:hanging="480"/>
      </w:pPr>
      <w:hyperlink w:anchor="_Toc31388" w:history="1">
        <w:r>
          <w:t>Figure 25 : Monthly cycle of rainfall projections</w:t>
        </w:r>
        <w:r>
          <w:tab/>
        </w:r>
        <w:r>
          <w:fldChar w:fldCharType="begin"/>
        </w:r>
        <w:r>
          <w:instrText xml:space="preserve"> PAGEREF _Toc31388 \h </w:instrText>
        </w:r>
        <w:r>
          <w:fldChar w:fldCharType="separate"/>
        </w:r>
        <w:r>
          <w:t>77</w:t>
        </w:r>
        <w:r>
          <w:fldChar w:fldCharType="end"/>
        </w:r>
      </w:hyperlink>
    </w:p>
    <w:p w14:paraId="73D531CF" w14:textId="77777777" w:rsidR="0099599B" w:rsidRDefault="00EB7A3F">
      <w:pPr>
        <w:pStyle w:val="TableofFigures"/>
        <w:tabs>
          <w:tab w:val="right" w:leader="dot" w:pos="9360"/>
        </w:tabs>
        <w:ind w:left="960" w:hanging="480"/>
      </w:pPr>
      <w:hyperlink w:anchor="_Toc13849" w:history="1">
        <w:r>
          <w:t xml:space="preserve">Figure 26 </w:t>
        </w:r>
        <w:r>
          <w:t>: Yearly Temperature Trend (Downscaled)</w:t>
        </w:r>
        <w:r>
          <w:tab/>
        </w:r>
        <w:r>
          <w:fldChar w:fldCharType="begin"/>
        </w:r>
        <w:r>
          <w:instrText xml:space="preserve"> PAGEREF _Toc13849 \h </w:instrText>
        </w:r>
        <w:r>
          <w:fldChar w:fldCharType="separate"/>
        </w:r>
        <w:r>
          <w:t>78</w:t>
        </w:r>
        <w:r>
          <w:fldChar w:fldCharType="end"/>
        </w:r>
      </w:hyperlink>
    </w:p>
    <w:p w14:paraId="54E4CC08" w14:textId="77777777" w:rsidR="0099599B" w:rsidRDefault="00EB7A3F">
      <w:pPr>
        <w:pStyle w:val="TableofFigures"/>
        <w:tabs>
          <w:tab w:val="right" w:leader="dot" w:pos="9360"/>
        </w:tabs>
        <w:ind w:left="960" w:hanging="480"/>
      </w:pPr>
      <w:hyperlink w:anchor="_Toc32445" w:history="1">
        <w:r>
          <w:t>Figure 27 : Monthly cycle of temperature projections</w:t>
        </w:r>
        <w:r>
          <w:tab/>
        </w:r>
        <w:r>
          <w:fldChar w:fldCharType="begin"/>
        </w:r>
        <w:r>
          <w:instrText xml:space="preserve"> PAGEREF _Toc32445 \h </w:instrText>
        </w:r>
        <w:r>
          <w:fldChar w:fldCharType="separate"/>
        </w:r>
        <w:r>
          <w:t>78</w:t>
        </w:r>
        <w:r>
          <w:fldChar w:fldCharType="end"/>
        </w:r>
      </w:hyperlink>
    </w:p>
    <w:p w14:paraId="6874363B" w14:textId="77777777" w:rsidR="0099599B" w:rsidRDefault="00EB7A3F">
      <w:pPr>
        <w:pStyle w:val="TableofFigures"/>
        <w:tabs>
          <w:tab w:val="right" w:leader="dot" w:pos="9360"/>
        </w:tabs>
        <w:ind w:left="960" w:hanging="480"/>
      </w:pPr>
      <w:hyperlink w:anchor="_Toc30808" w:history="1">
        <w:r>
          <w:t>Figure 28 : Temperature indices (TX90p, TX10p, TN90p, TN10p, DTR)</w:t>
        </w:r>
        <w:r>
          <w:tab/>
        </w:r>
        <w:r>
          <w:fldChar w:fldCharType="begin"/>
        </w:r>
        <w:r>
          <w:instrText xml:space="preserve"> PAGEREF _Toc30808 \h </w:instrText>
        </w:r>
        <w:r>
          <w:fldChar w:fldCharType="separate"/>
        </w:r>
        <w:r>
          <w:t>78</w:t>
        </w:r>
        <w:r>
          <w:fldChar w:fldCharType="end"/>
        </w:r>
      </w:hyperlink>
    </w:p>
    <w:p w14:paraId="4D5161C8" w14:textId="77777777" w:rsidR="0099599B" w:rsidRDefault="00EB7A3F">
      <w:r>
        <w:fldChar w:fldCharType="end"/>
      </w:r>
    </w:p>
    <w:p w14:paraId="46210228" w14:textId="77777777" w:rsidR="0099599B" w:rsidRDefault="0099599B"/>
    <w:p w14:paraId="7B5CA3D3" w14:textId="77777777" w:rsidR="0099599B" w:rsidRDefault="0099599B"/>
    <w:p w14:paraId="2C05DA0D" w14:textId="77777777" w:rsidR="0099599B" w:rsidRDefault="0099599B"/>
    <w:p w14:paraId="778AFD0F" w14:textId="77777777" w:rsidR="0099599B" w:rsidRDefault="0099599B"/>
    <w:p w14:paraId="2A1B2E93" w14:textId="77777777" w:rsidR="0099599B" w:rsidRDefault="00EB7A3F">
      <w:pPr>
        <w:pStyle w:val="Heading1"/>
      </w:pPr>
      <w:bookmarkStart w:id="3" w:name="_Toc21262"/>
      <w:r>
        <w:t>List of tables</w:t>
      </w:r>
      <w:bookmarkEnd w:id="3"/>
      <w:r>
        <w:tab/>
      </w:r>
    </w:p>
    <w:p w14:paraId="6FD67645" w14:textId="77777777" w:rsidR="0099599B" w:rsidRDefault="00EB7A3F">
      <w:pPr>
        <w:pStyle w:val="TableofFigures"/>
        <w:tabs>
          <w:tab w:val="right" w:leader="dot" w:pos="9360"/>
        </w:tabs>
        <w:ind w:left="960" w:hanging="480"/>
      </w:pPr>
      <w:r>
        <w:fldChar w:fldCharType="begin"/>
      </w:r>
      <w:r>
        <w:instrText>TOC \h \c "Table"</w:instrText>
      </w:r>
      <w:r>
        <w:fldChar w:fldCharType="separate"/>
      </w:r>
      <w:hyperlink w:anchor="_Toc15818" w:history="1">
        <w:r>
          <w:t>Table 1 : Observed Natural Hazard and Extreme Events in Ada East District</w:t>
        </w:r>
        <w:r>
          <w:tab/>
        </w:r>
        <w:r>
          <w:fldChar w:fldCharType="begin"/>
        </w:r>
        <w:r>
          <w:instrText xml:space="preserve"> PAGEREF _Toc15818 \h </w:instrText>
        </w:r>
        <w:r>
          <w:fldChar w:fldCharType="separate"/>
        </w:r>
        <w:r>
          <w:t>26</w:t>
        </w:r>
        <w:r>
          <w:fldChar w:fldCharType="end"/>
        </w:r>
      </w:hyperlink>
    </w:p>
    <w:p w14:paraId="1184301A" w14:textId="77777777" w:rsidR="0099599B" w:rsidRDefault="00EB7A3F">
      <w:pPr>
        <w:pStyle w:val="TableofFigures"/>
        <w:tabs>
          <w:tab w:val="right" w:leader="dot" w:pos="9360"/>
        </w:tabs>
        <w:ind w:left="960" w:hanging="480"/>
      </w:pPr>
      <w:hyperlink w:anchor="_Toc32289" w:history="1">
        <w:r>
          <w:t>Table 2 : Ranking of the most important and vulnerable economic sectors to climate cange</w:t>
        </w:r>
        <w:r>
          <w:tab/>
        </w:r>
        <w:r>
          <w:fldChar w:fldCharType="begin"/>
        </w:r>
        <w:r>
          <w:instrText xml:space="preserve"> PAGEREF _Toc32289 \h </w:instrText>
        </w:r>
        <w:r>
          <w:fldChar w:fldCharType="separate"/>
        </w:r>
        <w:r>
          <w:t>37</w:t>
        </w:r>
        <w:r>
          <w:fldChar w:fldCharType="end"/>
        </w:r>
      </w:hyperlink>
    </w:p>
    <w:p w14:paraId="173612D0" w14:textId="77777777" w:rsidR="0099599B" w:rsidRDefault="00EB7A3F">
      <w:pPr>
        <w:pStyle w:val="TableofFigures"/>
        <w:tabs>
          <w:tab w:val="right" w:leader="dot" w:pos="9360"/>
        </w:tabs>
        <w:ind w:left="960" w:hanging="480"/>
      </w:pPr>
      <w:hyperlink w:anchor="_Toc10162" w:history="1">
        <w:r>
          <w:t>Table 3 : Population Sampling for Ada East District</w:t>
        </w:r>
        <w:r>
          <w:tab/>
        </w:r>
        <w:r>
          <w:fldChar w:fldCharType="begin"/>
        </w:r>
        <w:r>
          <w:instrText xml:space="preserve"> PAGEREF _Toc10162 \h </w:instrText>
        </w:r>
        <w:r>
          <w:fldChar w:fldCharType="separate"/>
        </w:r>
        <w:r>
          <w:t>44</w:t>
        </w:r>
        <w:r>
          <w:fldChar w:fldCharType="end"/>
        </w:r>
      </w:hyperlink>
    </w:p>
    <w:p w14:paraId="107C8657" w14:textId="77777777" w:rsidR="0099599B" w:rsidRDefault="00EB7A3F">
      <w:pPr>
        <w:pStyle w:val="TableofFigures"/>
        <w:tabs>
          <w:tab w:val="right" w:leader="dot" w:pos="9360"/>
        </w:tabs>
        <w:ind w:left="960" w:hanging="480"/>
      </w:pPr>
      <w:hyperlink w:anchor="_Toc14580" w:history="1">
        <w:r>
          <w:rPr>
            <w:rFonts w:ascii="Arial" w:eastAsia="SimHei" w:hAnsi="Arial" w:cs="Arial"/>
            <w:i/>
            <w:iCs/>
          </w:rPr>
          <w:t xml:space="preserve">Table </w:t>
        </w:r>
        <w:r>
          <w:t xml:space="preserve">4 </w:t>
        </w:r>
        <w:r>
          <w:rPr>
            <w:rFonts w:ascii="Arial" w:eastAsia="SimHei" w:hAnsi="Arial" w:cs="Arial"/>
            <w:i/>
            <w:iCs/>
          </w:rPr>
          <w:t>:  Gender and Age distribution of the respondents</w:t>
        </w:r>
        <w:r>
          <w:tab/>
        </w:r>
        <w:r>
          <w:fldChar w:fldCharType="begin"/>
        </w:r>
        <w:r>
          <w:instrText xml:space="preserve"> PAGEREF _Toc14580 \h </w:instrText>
        </w:r>
        <w:r>
          <w:fldChar w:fldCharType="separate"/>
        </w:r>
        <w:r>
          <w:t>48</w:t>
        </w:r>
        <w:r>
          <w:fldChar w:fldCharType="end"/>
        </w:r>
      </w:hyperlink>
    </w:p>
    <w:p w14:paraId="143A63BE" w14:textId="77777777" w:rsidR="0099599B" w:rsidRDefault="00EB7A3F">
      <w:pPr>
        <w:pStyle w:val="TableofFigures"/>
        <w:tabs>
          <w:tab w:val="right" w:leader="dot" w:pos="9360"/>
        </w:tabs>
        <w:ind w:left="960" w:hanging="480"/>
      </w:pPr>
      <w:hyperlink w:anchor="_Toc19741" w:history="1">
        <w:r>
          <w:t xml:space="preserve">Table 5 </w:t>
        </w:r>
        <w:r>
          <w:rPr>
            <w:lang w:val="en-GB"/>
          </w:rPr>
          <w:t>: Sectoral Vulnerability of Ada East District</w:t>
        </w:r>
        <w:r>
          <w:tab/>
        </w:r>
        <w:r>
          <w:fldChar w:fldCharType="begin"/>
        </w:r>
        <w:r>
          <w:instrText xml:space="preserve"> PAGEREF _Toc19741 \h </w:instrText>
        </w:r>
        <w:r>
          <w:fldChar w:fldCharType="separate"/>
        </w:r>
        <w:r>
          <w:t>57</w:t>
        </w:r>
        <w:r>
          <w:fldChar w:fldCharType="end"/>
        </w:r>
      </w:hyperlink>
    </w:p>
    <w:p w14:paraId="1F1122FA" w14:textId="77777777" w:rsidR="0099599B" w:rsidRDefault="00EB7A3F">
      <w:pPr>
        <w:pStyle w:val="TableofFigures"/>
        <w:tabs>
          <w:tab w:val="right" w:leader="dot" w:pos="9360"/>
        </w:tabs>
        <w:ind w:left="960" w:hanging="480"/>
      </w:pPr>
      <w:hyperlink w:anchor="_Toc27357" w:history="1">
        <w:r>
          <w:t>Table 6 : IPCC‑LVI results for Ada East District</w:t>
        </w:r>
        <w:r>
          <w:tab/>
        </w:r>
        <w:r>
          <w:fldChar w:fldCharType="begin"/>
        </w:r>
        <w:r>
          <w:instrText xml:space="preserve"> PAGEREF _Toc27357 \h </w:instrText>
        </w:r>
        <w:r>
          <w:fldChar w:fldCharType="separate"/>
        </w:r>
        <w:r>
          <w:t>63</w:t>
        </w:r>
        <w:r>
          <w:fldChar w:fldCharType="end"/>
        </w:r>
      </w:hyperlink>
    </w:p>
    <w:p w14:paraId="6F779813" w14:textId="77777777" w:rsidR="0099599B" w:rsidRDefault="00EB7A3F">
      <w:r>
        <w:fldChar w:fldCharType="end"/>
      </w:r>
    </w:p>
    <w:p w14:paraId="5A120723" w14:textId="77777777" w:rsidR="0099599B" w:rsidRDefault="0099599B"/>
    <w:p w14:paraId="00A8BBD6" w14:textId="77777777" w:rsidR="0099599B" w:rsidRDefault="0099599B"/>
    <w:p w14:paraId="643AA65B" w14:textId="77777777" w:rsidR="0099599B" w:rsidRDefault="0099599B"/>
    <w:p w14:paraId="390CD1F1" w14:textId="77777777" w:rsidR="0099599B" w:rsidRDefault="0099599B"/>
    <w:p w14:paraId="3BDEEA89" w14:textId="77777777" w:rsidR="0099599B" w:rsidRDefault="0099599B"/>
    <w:p w14:paraId="71D85764" w14:textId="77777777" w:rsidR="0099599B" w:rsidRDefault="0099599B"/>
    <w:p w14:paraId="139D9E6D" w14:textId="77777777" w:rsidR="0099599B" w:rsidRDefault="0099599B"/>
    <w:p w14:paraId="20D38242" w14:textId="77777777" w:rsidR="0099599B" w:rsidRDefault="0099599B"/>
    <w:p w14:paraId="6D38DC77" w14:textId="77777777" w:rsidR="0099599B" w:rsidRDefault="00EB7A3F">
      <w:r>
        <w:br w:type="page"/>
      </w:r>
    </w:p>
    <w:p w14:paraId="396EADCD" w14:textId="77777777" w:rsidR="0099599B" w:rsidRDefault="00EB7A3F">
      <w:pPr>
        <w:pStyle w:val="Heading1"/>
      </w:pPr>
      <w:bookmarkStart w:id="4" w:name="_Toc29415"/>
      <w:r>
        <w:lastRenderedPageBreak/>
        <w:t>Acronyms</w:t>
      </w:r>
      <w:bookmarkEnd w:id="4"/>
    </w:p>
    <w:tbl>
      <w:tblPr>
        <w:tblW w:w="4999" w:type="pct"/>
        <w:tblLook w:val="04A0" w:firstRow="1" w:lastRow="0" w:firstColumn="1" w:lastColumn="0" w:noHBand="0" w:noVBand="1"/>
      </w:tblPr>
      <w:tblGrid>
        <w:gridCol w:w="3976"/>
        <w:gridCol w:w="5362"/>
      </w:tblGrid>
      <w:tr w:rsidR="0099599B" w14:paraId="2D1F0F89"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79646"/>
            <w:vAlign w:val="center"/>
          </w:tcPr>
          <w:p w14:paraId="660E72F4" w14:textId="77777777" w:rsidR="0099599B" w:rsidRDefault="00EB7A3F">
            <w:pPr>
              <w:jc w:val="both"/>
              <w:textAlignment w:val="center"/>
              <w:rPr>
                <w:rFonts w:ascii="Times New Roman Regular" w:hAnsi="Times New Roman Regular" w:cs="Times New Roman Regular"/>
                <w:b/>
                <w:bCs/>
                <w:color w:val="FFFFFF"/>
                <w:sz w:val="22"/>
                <w:szCs w:val="22"/>
              </w:rPr>
            </w:pPr>
            <w:r>
              <w:rPr>
                <w:rFonts w:ascii="Times New Roman Regular" w:eastAsia="SimSun" w:hAnsi="Times New Roman Regular" w:cs="Times New Roman Regular"/>
                <w:b/>
                <w:bCs/>
                <w:color w:val="FFFFFF"/>
                <w:kern w:val="0"/>
                <w:sz w:val="22"/>
                <w:szCs w:val="22"/>
                <w:lang w:eastAsia="zh-CN" w:bidi="ar"/>
              </w:rPr>
              <w:t>Abbreviation</w:t>
            </w:r>
          </w:p>
        </w:tc>
        <w:tc>
          <w:tcPr>
            <w:tcW w:w="2870" w:type="pct"/>
            <w:tcBorders>
              <w:top w:val="single" w:sz="8" w:space="0" w:color="F79646"/>
              <w:left w:val="dotted" w:sz="0" w:space="0" w:color="auto"/>
              <w:bottom w:val="single" w:sz="8" w:space="0" w:color="F79646"/>
              <w:right w:val="single" w:sz="8" w:space="0" w:color="F79646"/>
            </w:tcBorders>
            <w:shd w:val="clear" w:color="auto" w:fill="F79646"/>
          </w:tcPr>
          <w:p w14:paraId="535CE08B" w14:textId="77777777" w:rsidR="0099599B" w:rsidRDefault="00EB7A3F">
            <w:pPr>
              <w:jc w:val="center"/>
              <w:textAlignment w:val="center"/>
              <w:rPr>
                <w:rFonts w:ascii="Times New Roman Regular" w:hAnsi="Times New Roman Regular" w:cs="Times New Roman Regular"/>
                <w:b/>
                <w:bCs/>
                <w:color w:val="FFFFFF"/>
                <w:sz w:val="22"/>
                <w:szCs w:val="22"/>
              </w:rPr>
            </w:pPr>
            <w:r>
              <w:rPr>
                <w:rFonts w:ascii="Times New Roman Regular" w:eastAsia="SimSun" w:hAnsi="Times New Roman Regular" w:cs="Times New Roman Regular"/>
                <w:b/>
                <w:bCs/>
                <w:color w:val="FFFFFF"/>
                <w:kern w:val="0"/>
                <w:sz w:val="22"/>
                <w:szCs w:val="22"/>
                <w:lang w:eastAsia="zh-CN" w:bidi="ar"/>
              </w:rPr>
              <w:t>Connotation</w:t>
            </w:r>
          </w:p>
        </w:tc>
      </w:tr>
      <w:tr w:rsidR="0099599B" w14:paraId="08A2B687"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1BA3C8D9"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A</w:t>
            </w:r>
            <w:r>
              <w:rPr>
                <w:rFonts w:ascii="Times New Roman Regular" w:eastAsia="SimSun" w:hAnsi="Times New Roman Regular" w:cs="Times New Roman Regular"/>
                <w:color w:val="000000"/>
                <w:kern w:val="0"/>
                <w:sz w:val="22"/>
                <w:szCs w:val="22"/>
                <w:lang w:eastAsia="zh-CN" w:bidi="ar"/>
              </w:rPr>
              <w:t>E</w:t>
            </w:r>
            <w:r>
              <w:rPr>
                <w:rFonts w:ascii="Times New Roman Regular" w:eastAsia="SimSun" w:hAnsi="Times New Roman Regular" w:cs="Times New Roman Regular"/>
                <w:color w:val="000000"/>
                <w:kern w:val="0"/>
                <w:sz w:val="22"/>
                <w:szCs w:val="22"/>
                <w:lang w:eastAsia="zh-CN" w:bidi="ar"/>
              </w:rPr>
              <w:t>DA</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755CEAA5"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Ada East District Assembly</w:t>
            </w:r>
          </w:p>
        </w:tc>
      </w:tr>
      <w:tr w:rsidR="0099599B" w14:paraId="7B7B511D"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654112D0"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EPA</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0C7B9121"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Environmental Protection Agency</w:t>
            </w:r>
          </w:p>
        </w:tc>
      </w:tr>
      <w:tr w:rsidR="0099599B" w14:paraId="68BA2C46"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44E3B33B"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GSS</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6E5FB546"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Ghana Statistical Service</w:t>
            </w:r>
          </w:p>
        </w:tc>
      </w:tr>
      <w:tr w:rsidR="0099599B" w14:paraId="4EC916DE"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49415E5C"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IPCC</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6BCDBC98"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Intergovernmental Panel on Climate Change</w:t>
            </w:r>
          </w:p>
        </w:tc>
      </w:tr>
      <w:tr w:rsidR="0099599B" w14:paraId="0F47CFEE"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137F2209"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LVI</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0F496F84"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Livelihood Vulnerability Index</w:t>
            </w:r>
          </w:p>
        </w:tc>
      </w:tr>
      <w:tr w:rsidR="0099599B" w14:paraId="4A7A77CE"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5100A10C"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NADMO</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202F1D0E"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National Disaster Management Organization</w:t>
            </w:r>
          </w:p>
        </w:tc>
      </w:tr>
      <w:tr w:rsidR="0099599B" w14:paraId="06549415"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5752EBE2"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NAP</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233012F9"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National Adaptation Plan</w:t>
            </w:r>
          </w:p>
        </w:tc>
      </w:tr>
      <w:tr w:rsidR="0099599B" w14:paraId="432569F8"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75C190E3"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SDGs</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1DE05B90"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Sustainable Development Goals</w:t>
            </w:r>
          </w:p>
        </w:tc>
      </w:tr>
      <w:tr w:rsidR="0099599B" w14:paraId="1E83F175"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0D5F33F3"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UNDP</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1858B77D"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United Nations Development Programme</w:t>
            </w:r>
          </w:p>
        </w:tc>
      </w:tr>
      <w:tr w:rsidR="0099599B" w14:paraId="34AEC984"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46D2CE13"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UNEP</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20388E10"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United Nations Environment Programme</w:t>
            </w:r>
          </w:p>
        </w:tc>
      </w:tr>
      <w:tr w:rsidR="0099599B" w14:paraId="4ADC1F03"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30758E4B"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WASH</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28E095B6"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Water, Sanitation and Hygiene</w:t>
            </w:r>
          </w:p>
        </w:tc>
      </w:tr>
      <w:tr w:rsidR="0099599B" w14:paraId="0F1EFC89"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799EA342"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VRA</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55EA0DC4"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Volta River Authority</w:t>
            </w:r>
          </w:p>
        </w:tc>
      </w:tr>
      <w:tr w:rsidR="0099599B" w14:paraId="1FAD6A34"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32CACF90"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GMA</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29899F35"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Ghana Meteorological Agency</w:t>
            </w:r>
          </w:p>
        </w:tc>
      </w:tr>
      <w:tr w:rsidR="0099599B" w14:paraId="1D91B0F2"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5AD01E56"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ISSER</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7D28B416"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Institute of Statistical, Social and Economic Research</w:t>
            </w:r>
          </w:p>
        </w:tc>
      </w:tr>
      <w:tr w:rsidR="0099599B" w14:paraId="5C24487E"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793DFE9D"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DRR</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5A5DD0E8"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Disaster Risk Reduction</w:t>
            </w:r>
          </w:p>
        </w:tc>
      </w:tr>
      <w:tr w:rsidR="0099599B" w14:paraId="6765A1A7"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76FDFF68"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MoFA</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093C3FBB"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Ministry of Food and Agriculture</w:t>
            </w:r>
          </w:p>
        </w:tc>
      </w:tr>
      <w:tr w:rsidR="0099599B" w14:paraId="7AC43FD7" w14:textId="77777777">
        <w:trPr>
          <w:trHeight w:val="397"/>
        </w:trPr>
        <w:tc>
          <w:tcPr>
            <w:tcW w:w="2129" w:type="pct"/>
            <w:tcBorders>
              <w:top w:val="single" w:sz="8" w:space="0" w:color="F79646"/>
              <w:left w:val="single" w:sz="8" w:space="0" w:color="F79646"/>
              <w:bottom w:val="single" w:sz="8" w:space="0" w:color="F79646"/>
              <w:right w:val="dotted" w:sz="0" w:space="0" w:color="auto"/>
            </w:tcBorders>
            <w:shd w:val="clear" w:color="auto" w:fill="FFFFFF"/>
            <w:vAlign w:val="center"/>
          </w:tcPr>
          <w:p w14:paraId="40F770C4"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WHO</w:t>
            </w:r>
          </w:p>
        </w:tc>
        <w:tc>
          <w:tcPr>
            <w:tcW w:w="2870" w:type="pct"/>
            <w:tcBorders>
              <w:top w:val="single" w:sz="8" w:space="0" w:color="F79646"/>
              <w:left w:val="dotted" w:sz="0" w:space="0" w:color="auto"/>
              <w:bottom w:val="single" w:sz="8" w:space="0" w:color="F79646"/>
              <w:right w:val="single" w:sz="8" w:space="0" w:color="F79646"/>
            </w:tcBorders>
            <w:shd w:val="clear" w:color="auto" w:fill="FFFFFF"/>
            <w:vAlign w:val="center"/>
          </w:tcPr>
          <w:p w14:paraId="6FADD4A9" w14:textId="77777777" w:rsidR="0099599B" w:rsidRDefault="00EB7A3F">
            <w:pPr>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World Health Organization</w:t>
            </w:r>
          </w:p>
        </w:tc>
      </w:tr>
    </w:tbl>
    <w:p w14:paraId="55D22366" w14:textId="77777777" w:rsidR="0099599B" w:rsidRDefault="00EB7A3F">
      <w:r>
        <w:tab/>
      </w:r>
    </w:p>
    <w:p w14:paraId="79A4E97A" w14:textId="77777777" w:rsidR="0099599B" w:rsidRDefault="0099599B"/>
    <w:p w14:paraId="469DDCF7" w14:textId="77777777" w:rsidR="0099599B" w:rsidRDefault="0099599B"/>
    <w:p w14:paraId="3132BC15" w14:textId="77777777" w:rsidR="0099599B" w:rsidRDefault="0099599B"/>
    <w:p w14:paraId="02664EFE" w14:textId="77777777" w:rsidR="0099599B" w:rsidRDefault="0099599B"/>
    <w:p w14:paraId="29F12630" w14:textId="77777777" w:rsidR="0099599B" w:rsidRDefault="0099599B"/>
    <w:p w14:paraId="2352D6F5" w14:textId="77777777" w:rsidR="0099599B" w:rsidRDefault="0099599B"/>
    <w:p w14:paraId="3C0D457A" w14:textId="77777777" w:rsidR="0099599B" w:rsidRDefault="0099599B"/>
    <w:p w14:paraId="642F364E" w14:textId="77777777" w:rsidR="0099599B" w:rsidRDefault="00EB7A3F">
      <w:pPr>
        <w:pStyle w:val="Heading1"/>
        <w:spacing w:line="360" w:lineRule="auto"/>
      </w:pPr>
      <w:bookmarkStart w:id="5" w:name="_Toc23537"/>
      <w:r>
        <w:lastRenderedPageBreak/>
        <w:t>Executive Summary</w:t>
      </w:r>
      <w:bookmarkEnd w:id="5"/>
    </w:p>
    <w:p w14:paraId="02433824" w14:textId="77777777" w:rsidR="0099599B" w:rsidRDefault="00EB7A3F">
      <w:pPr>
        <w:spacing w:line="360" w:lineRule="auto"/>
        <w:jc w:val="both"/>
      </w:pPr>
      <w:r>
        <w:rPr>
          <w:rFonts w:ascii="Times New Roman Bold" w:hAnsi="Times New Roman Bold" w:cs="Times New Roman Bold"/>
          <w:b/>
          <w:bCs/>
        </w:rPr>
        <w:t xml:space="preserve">Background: </w:t>
      </w:r>
      <w:r>
        <w:t>Ada East District, located between the Volta River and the Gulf of Guinea, is one of the most climate-vulnerable coastal areas in Ghana. Its geographical position exposes communities to tidal surges, flooding, saltwater intrusion, shoreline retreat, and prolonged dry spells. The district’s economy is anchored in agriculture, fishing, and salt mining—livelihoods that are highly sensitive to climate variability and environmental pressures. Rapid ecosystem degradation, coupled with persistent socio-economic ch</w:t>
      </w:r>
      <w:r>
        <w:t>allenges such as poverty and fragile infrastructure, compound these risks, making climate resilience a pressing development priority.</w:t>
      </w:r>
    </w:p>
    <w:p w14:paraId="67CD5C79" w14:textId="77777777" w:rsidR="0099599B" w:rsidRDefault="00EB7A3F">
      <w:pPr>
        <w:spacing w:line="360" w:lineRule="auto"/>
        <w:jc w:val="both"/>
      </w:pPr>
      <w:r>
        <w:rPr>
          <w:rFonts w:ascii="Times New Roman Bold" w:hAnsi="Times New Roman Bold" w:cs="Times New Roman Bold"/>
          <w:b/>
          <w:bCs/>
        </w:rPr>
        <w:t xml:space="preserve">Methodology: </w:t>
      </w:r>
      <w:r>
        <w:t>The Climate Risk and Vulnerability Assessment (CRVA) applied a mixed-methods approach to capture both scientific and community perspectives:</w:t>
      </w:r>
    </w:p>
    <w:p w14:paraId="4C616BEB" w14:textId="77777777" w:rsidR="0099599B" w:rsidRDefault="00EB7A3F">
      <w:pPr>
        <w:spacing w:line="360" w:lineRule="auto"/>
        <w:jc w:val="both"/>
      </w:pPr>
      <w:r>
        <w:rPr>
          <w:i/>
          <w:iCs/>
        </w:rPr>
        <w:t xml:space="preserve">Household Surveys: </w:t>
      </w:r>
      <w:r>
        <w:t>Structured questionnaires across coastal, inland, and island communities gathered data on livelihoods, water, health, and coping mechanisms.</w:t>
      </w:r>
    </w:p>
    <w:p w14:paraId="5075FEAC" w14:textId="77777777" w:rsidR="0099599B" w:rsidRDefault="00EB7A3F">
      <w:pPr>
        <w:spacing w:line="360" w:lineRule="auto"/>
        <w:jc w:val="both"/>
      </w:pPr>
      <w:r>
        <w:rPr>
          <w:i/>
          <w:iCs/>
        </w:rPr>
        <w:t>Analytical Frameworks:</w:t>
      </w:r>
      <w:r>
        <w:t xml:space="preserve"> The Livelihood Vulnerability Index (LVI) and the IPCC framework for exposure, sensitivity, and adaptive capacity were applied to integrate climate data with household-level experiences.</w:t>
      </w:r>
    </w:p>
    <w:p w14:paraId="59B7E054" w14:textId="77777777" w:rsidR="0099599B" w:rsidRDefault="00EB7A3F">
      <w:pPr>
        <w:spacing w:line="360" w:lineRule="auto"/>
        <w:jc w:val="both"/>
      </w:pPr>
      <w:r>
        <w:rPr>
          <w:rFonts w:ascii="Times New Roman Italic" w:hAnsi="Times New Roman Italic" w:cs="Times New Roman Italic"/>
          <w:i/>
          <w:iCs/>
        </w:rPr>
        <w:t>Participatory Consultations:</w:t>
      </w:r>
      <w:r>
        <w:t xml:space="preserve"> Workshops and interviews with traditional leaders, women’s associations, youth, and persons with disabilities ensured inclusive representation and fostered ownership of findings.</w:t>
      </w:r>
    </w:p>
    <w:p w14:paraId="7E25DA2B" w14:textId="77777777" w:rsidR="0099599B" w:rsidRDefault="00EB7A3F">
      <w:pPr>
        <w:spacing w:line="360" w:lineRule="auto"/>
        <w:jc w:val="both"/>
      </w:pPr>
      <w:r>
        <w:rPr>
          <w:rFonts w:ascii="Times New Roman Bold" w:hAnsi="Times New Roman Bold" w:cs="Times New Roman Bold"/>
          <w:b/>
          <w:bCs/>
        </w:rPr>
        <w:t>Key Findings</w:t>
      </w:r>
    </w:p>
    <w:p w14:paraId="0D2F93CB" w14:textId="77777777" w:rsidR="0099599B" w:rsidRDefault="00EB7A3F">
      <w:pPr>
        <w:spacing w:line="360" w:lineRule="auto"/>
        <w:jc w:val="both"/>
        <w:rPr>
          <w:rFonts w:ascii="Times New Roman Bold" w:hAnsi="Times New Roman Bold" w:cs="Times New Roman Bold"/>
          <w:b/>
          <w:bCs/>
          <w:i/>
          <w:iCs/>
        </w:rPr>
      </w:pPr>
      <w:r>
        <w:rPr>
          <w:rFonts w:ascii="Times New Roman Bold" w:hAnsi="Times New Roman Bold" w:cs="Times New Roman Bold"/>
          <w:b/>
          <w:bCs/>
          <w:i/>
          <w:iCs/>
        </w:rPr>
        <w:t>a. Spatial and Demographic Vulnerabilities</w:t>
      </w:r>
    </w:p>
    <w:p w14:paraId="75458312" w14:textId="77777777" w:rsidR="0099599B" w:rsidRDefault="00EB7A3F">
      <w:pPr>
        <w:numPr>
          <w:ilvl w:val="0"/>
          <w:numId w:val="1"/>
        </w:numPr>
        <w:spacing w:line="360" w:lineRule="auto"/>
        <w:jc w:val="both"/>
      </w:pPr>
      <w:r>
        <w:t>Coastal Settlements: Tidal surges, coastal flooding, and shoreline erosion threaten low-lying communities such as Big Ada, leading to recurrent displacement and asset losses.</w:t>
      </w:r>
    </w:p>
    <w:p w14:paraId="06C24FD0" w14:textId="77777777" w:rsidR="0099599B" w:rsidRDefault="00EB7A3F">
      <w:pPr>
        <w:numPr>
          <w:ilvl w:val="0"/>
          <w:numId w:val="1"/>
        </w:numPr>
        <w:spacing w:line="360" w:lineRule="auto"/>
        <w:jc w:val="both"/>
      </w:pPr>
      <w:r>
        <w:t>Inland Communities: Erratic rainfall and prolonged droughts disrupt maize, cassava, and vegetable production, undermining food security.</w:t>
      </w:r>
    </w:p>
    <w:p w14:paraId="677CA538" w14:textId="77777777" w:rsidR="0099599B" w:rsidRDefault="00EB7A3F">
      <w:pPr>
        <w:numPr>
          <w:ilvl w:val="0"/>
          <w:numId w:val="1"/>
        </w:numPr>
        <w:spacing w:line="360" w:lineRule="auto"/>
        <w:jc w:val="both"/>
      </w:pPr>
      <w:r>
        <w:t>Island Communities: Settlements on the Volta estuary face multiple disadvantages, including limited access to markets, potable water, and health facilities.</w:t>
      </w:r>
    </w:p>
    <w:p w14:paraId="33DB3A33" w14:textId="77777777" w:rsidR="0099599B" w:rsidRDefault="00EB7A3F">
      <w:pPr>
        <w:spacing w:line="360" w:lineRule="auto"/>
        <w:jc w:val="both"/>
      </w:pPr>
      <w:r>
        <w:rPr>
          <w:rFonts w:ascii="Times New Roman Bold" w:hAnsi="Times New Roman Bold" w:cs="Times New Roman Bold"/>
          <w:b/>
          <w:bCs/>
          <w:i/>
          <w:iCs/>
        </w:rPr>
        <w:lastRenderedPageBreak/>
        <w:t>b. Sectoral Vulnerabilities</w:t>
      </w:r>
    </w:p>
    <w:p w14:paraId="7C547CBB" w14:textId="77777777" w:rsidR="0099599B" w:rsidRDefault="00EB7A3F">
      <w:pPr>
        <w:numPr>
          <w:ilvl w:val="0"/>
          <w:numId w:val="1"/>
        </w:numPr>
        <w:spacing w:line="360" w:lineRule="auto"/>
        <w:jc w:val="both"/>
      </w:pPr>
      <w:r>
        <w:t>Agriculture: Rainfed farming is increasingly unreliable due to erratic rainfall, saline intrusion, and soil degradation. Yields of staple crops are falling.</w:t>
      </w:r>
    </w:p>
    <w:p w14:paraId="504219B4" w14:textId="77777777" w:rsidR="0099599B" w:rsidRDefault="00EB7A3F">
      <w:pPr>
        <w:numPr>
          <w:ilvl w:val="0"/>
          <w:numId w:val="1"/>
        </w:numPr>
        <w:spacing w:line="360" w:lineRule="auto"/>
        <w:jc w:val="both"/>
      </w:pPr>
      <w:r>
        <w:t>Fisheries: Declining fish stocks, driven by salinity changes and ecosystem degradation, undermine fishing livelihoods.</w:t>
      </w:r>
    </w:p>
    <w:p w14:paraId="12E0ED54" w14:textId="77777777" w:rsidR="0099599B" w:rsidRDefault="00EB7A3F">
      <w:pPr>
        <w:numPr>
          <w:ilvl w:val="0"/>
          <w:numId w:val="1"/>
        </w:numPr>
        <w:spacing w:line="360" w:lineRule="auto"/>
        <w:jc w:val="both"/>
      </w:pPr>
      <w:r>
        <w:t>Water Resources: Many households rely on costly purchased water due to saline intrusion and unreliable sources.</w:t>
      </w:r>
    </w:p>
    <w:p w14:paraId="59FD684F" w14:textId="77777777" w:rsidR="0099599B" w:rsidRDefault="00EB7A3F">
      <w:pPr>
        <w:numPr>
          <w:ilvl w:val="0"/>
          <w:numId w:val="1"/>
        </w:numPr>
        <w:spacing w:line="360" w:lineRule="auto"/>
        <w:jc w:val="both"/>
      </w:pPr>
      <w:r>
        <w:t>Health: Outbreaks of climate-sensitive diseases such as cholera and malaria follow floods, while inadequate health infrastructure exacerbates risks.</w:t>
      </w:r>
    </w:p>
    <w:p w14:paraId="699792C3" w14:textId="77777777" w:rsidR="0099599B" w:rsidRDefault="00EB7A3F">
      <w:pPr>
        <w:numPr>
          <w:ilvl w:val="0"/>
          <w:numId w:val="1"/>
        </w:numPr>
        <w:spacing w:line="360" w:lineRule="auto"/>
        <w:jc w:val="both"/>
      </w:pPr>
      <w:r>
        <w:t>Infrastructure: Poorly adapted roads, schools, markets, and drainage systems suffer recurrent damage from floods and tidal surges.</w:t>
      </w:r>
    </w:p>
    <w:p w14:paraId="76E62A8A" w14:textId="77777777" w:rsidR="0099599B" w:rsidRDefault="00EB7A3F">
      <w:pPr>
        <w:numPr>
          <w:ilvl w:val="0"/>
          <w:numId w:val="1"/>
        </w:numPr>
        <w:spacing w:line="360" w:lineRule="auto"/>
        <w:jc w:val="both"/>
      </w:pPr>
      <w:r>
        <w:t>Ecosystems: Mangrove and wetland degradation in the Songor Lagoon and Volta estuary reduce natural protection and weaken fisheries and biodiversity.</w:t>
      </w:r>
    </w:p>
    <w:p w14:paraId="76FAD8F4" w14:textId="77777777" w:rsidR="0099599B" w:rsidRDefault="00EB7A3F">
      <w:pPr>
        <w:numPr>
          <w:ilvl w:val="0"/>
          <w:numId w:val="1"/>
        </w:numPr>
        <w:spacing w:line="360" w:lineRule="auto"/>
        <w:jc w:val="both"/>
      </w:pPr>
      <w:r>
        <w:t>Governance: Disaster preparedness is constrained by weak institutional coordination and limited resources for NADMO.</w:t>
      </w:r>
    </w:p>
    <w:p w14:paraId="10620D58" w14:textId="77777777" w:rsidR="0099599B" w:rsidRDefault="00EB7A3F">
      <w:pPr>
        <w:spacing w:line="360" w:lineRule="auto"/>
        <w:jc w:val="both"/>
      </w:pPr>
      <w:r>
        <w:rPr>
          <w:rFonts w:ascii="Times New Roman Bold" w:hAnsi="Times New Roman Bold" w:cs="Times New Roman Bold"/>
          <w:b/>
          <w:bCs/>
          <w:i/>
          <w:iCs/>
        </w:rPr>
        <w:t>c. Gender and Social Dynamics</w:t>
      </w:r>
    </w:p>
    <w:p w14:paraId="1CA69075" w14:textId="77777777" w:rsidR="0099599B" w:rsidRDefault="00EB7A3F">
      <w:pPr>
        <w:numPr>
          <w:ilvl w:val="0"/>
          <w:numId w:val="1"/>
        </w:numPr>
        <w:spacing w:line="360" w:lineRule="auto"/>
        <w:jc w:val="both"/>
      </w:pPr>
      <w:r>
        <w:t>Women, who play central roles in farming, fish processing, water collection, and trading, face restricted access to land, credit, and decision-making.</w:t>
      </w:r>
    </w:p>
    <w:p w14:paraId="3D00A7C7" w14:textId="77777777" w:rsidR="0099599B" w:rsidRDefault="00EB7A3F">
      <w:pPr>
        <w:numPr>
          <w:ilvl w:val="0"/>
          <w:numId w:val="1"/>
        </w:numPr>
        <w:spacing w:line="360" w:lineRule="auto"/>
        <w:jc w:val="both"/>
      </w:pPr>
      <w:r>
        <w:t>Men dominate sole financial and farming decisions, undervaluing women’s contributions.</w:t>
      </w:r>
    </w:p>
    <w:p w14:paraId="5D315DE0" w14:textId="77777777" w:rsidR="0099599B" w:rsidRDefault="00EB7A3F">
      <w:pPr>
        <w:numPr>
          <w:ilvl w:val="0"/>
          <w:numId w:val="1"/>
        </w:numPr>
        <w:spacing w:line="360" w:lineRule="auto"/>
        <w:jc w:val="both"/>
      </w:pPr>
      <w:r>
        <w:t>Women’s unpaid workloads—particularly in water collection and childcare—increase significantly during climate crises.</w:t>
      </w:r>
    </w:p>
    <w:p w14:paraId="49EB3962" w14:textId="77777777" w:rsidR="0099599B" w:rsidRDefault="00EB7A3F">
      <w:pPr>
        <w:numPr>
          <w:ilvl w:val="0"/>
          <w:numId w:val="1"/>
        </w:numPr>
        <w:spacing w:line="360" w:lineRule="auto"/>
        <w:jc w:val="both"/>
      </w:pPr>
      <w:r>
        <w:t>Persons with disabilities and marginalized groups have limited livelihood opportunities and weak social protection, reducing their adaptive capacity.</w:t>
      </w:r>
    </w:p>
    <w:p w14:paraId="60054ABA" w14:textId="77777777" w:rsidR="0099599B" w:rsidRDefault="0099599B">
      <w:pPr>
        <w:spacing w:line="360" w:lineRule="auto"/>
        <w:jc w:val="both"/>
      </w:pPr>
    </w:p>
    <w:p w14:paraId="4610B183" w14:textId="77777777" w:rsidR="0099599B" w:rsidRDefault="0099599B">
      <w:pPr>
        <w:spacing w:line="360" w:lineRule="auto"/>
        <w:jc w:val="both"/>
        <w:rPr>
          <w:rFonts w:ascii="Times New Roman Bold" w:hAnsi="Times New Roman Bold" w:cs="Times New Roman Bold"/>
          <w:b/>
          <w:bCs/>
        </w:rPr>
      </w:pPr>
    </w:p>
    <w:p w14:paraId="0976D6AB" w14:textId="77777777" w:rsidR="0099599B" w:rsidRDefault="00EB7A3F">
      <w:pPr>
        <w:spacing w:line="360" w:lineRule="auto"/>
        <w:jc w:val="both"/>
      </w:pPr>
      <w:r>
        <w:rPr>
          <w:rFonts w:ascii="Times New Roman Bold" w:hAnsi="Times New Roman Bold" w:cs="Times New Roman Bold"/>
          <w:b/>
          <w:bCs/>
        </w:rPr>
        <w:lastRenderedPageBreak/>
        <w:t>Recommendations:</w:t>
      </w:r>
    </w:p>
    <w:p w14:paraId="2F161D10" w14:textId="77777777" w:rsidR="0099599B" w:rsidRDefault="00EB7A3F">
      <w:pPr>
        <w:numPr>
          <w:ilvl w:val="0"/>
          <w:numId w:val="1"/>
        </w:numPr>
        <w:spacing w:line="360" w:lineRule="auto"/>
        <w:jc w:val="both"/>
      </w:pPr>
      <w:r>
        <w:t>Climate-Resilient Livelihoods: Promote drought-tolerant and salt-resistant crops, expand aquaculture, and provide microfinance, especially for women farmers and traders.</w:t>
      </w:r>
    </w:p>
    <w:p w14:paraId="7E65B877" w14:textId="77777777" w:rsidR="0099599B" w:rsidRDefault="00EB7A3F">
      <w:pPr>
        <w:numPr>
          <w:ilvl w:val="0"/>
          <w:numId w:val="1"/>
        </w:numPr>
        <w:spacing w:line="360" w:lineRule="auto"/>
        <w:jc w:val="both"/>
      </w:pPr>
      <w:r>
        <w:t>Water Security: Scale up the District Water Supply Scheme, drill boreholes, and promote rainwater harvesting to ensure safe and reliable water access.</w:t>
      </w:r>
    </w:p>
    <w:p w14:paraId="1F629C47" w14:textId="77777777" w:rsidR="0099599B" w:rsidRDefault="00EB7A3F">
      <w:pPr>
        <w:numPr>
          <w:ilvl w:val="0"/>
          <w:numId w:val="1"/>
        </w:numPr>
        <w:spacing w:line="360" w:lineRule="auto"/>
        <w:jc w:val="both"/>
      </w:pPr>
      <w:r>
        <w:t>Infrastructure Resilience: Complete sea defense projects, improve drainage in Kasseh and Big Ada, and enforce land-use planning to protect lives and assets.</w:t>
      </w:r>
    </w:p>
    <w:p w14:paraId="25120AC3" w14:textId="77777777" w:rsidR="0099599B" w:rsidRDefault="00EB7A3F">
      <w:pPr>
        <w:numPr>
          <w:ilvl w:val="0"/>
          <w:numId w:val="1"/>
        </w:numPr>
        <w:spacing w:line="360" w:lineRule="auto"/>
        <w:jc w:val="both"/>
      </w:pPr>
      <w:r>
        <w:t>Public Health Preparedness: Strengthen disease surveillance, expand sanitation facilities, and scale up WASH programs in flood-prone and coastal communities.</w:t>
      </w:r>
    </w:p>
    <w:p w14:paraId="4033B2CE" w14:textId="77777777" w:rsidR="0099599B" w:rsidRDefault="00EB7A3F">
      <w:pPr>
        <w:numPr>
          <w:ilvl w:val="0"/>
          <w:numId w:val="1"/>
        </w:numPr>
        <w:spacing w:line="360" w:lineRule="auto"/>
        <w:jc w:val="both"/>
      </w:pPr>
      <w:r>
        <w:t>Ecosystem-Based Adaptation: Restore mangrove forests, enforce conservation rules, and link ecosystem rehabilitation to alternative livelihoods.</w:t>
      </w:r>
    </w:p>
    <w:p w14:paraId="1A5F6C1E" w14:textId="77777777" w:rsidR="0099599B" w:rsidRDefault="00EB7A3F">
      <w:pPr>
        <w:numPr>
          <w:ilvl w:val="0"/>
          <w:numId w:val="1"/>
        </w:numPr>
        <w:spacing w:line="360" w:lineRule="auto"/>
        <w:jc w:val="both"/>
      </w:pPr>
      <w:r>
        <w:t>Gender and Social Inclusion: Form women-led adaptation groups, mainstream gender in district planning, and expand social protection for marginalized groups.</w:t>
      </w:r>
    </w:p>
    <w:p w14:paraId="59C38839" w14:textId="77777777" w:rsidR="0099599B" w:rsidRDefault="00EB7A3F">
      <w:pPr>
        <w:numPr>
          <w:ilvl w:val="0"/>
          <w:numId w:val="1"/>
        </w:numPr>
        <w:spacing w:line="360" w:lineRule="auto"/>
        <w:jc w:val="both"/>
      </w:pPr>
      <w:r>
        <w:t>Governance and Institutional Capacity: Strengthen NADMO logistics, integrate climate risks into district plans, and support community-based early warning systems.</w:t>
      </w:r>
    </w:p>
    <w:p w14:paraId="3D4DDDEE" w14:textId="77777777" w:rsidR="0099599B" w:rsidRDefault="0099599B">
      <w:pPr>
        <w:spacing w:line="360" w:lineRule="auto"/>
        <w:jc w:val="both"/>
      </w:pPr>
    </w:p>
    <w:p w14:paraId="6F47CA86" w14:textId="77777777" w:rsidR="0099599B" w:rsidRDefault="00EB7A3F">
      <w:pPr>
        <w:spacing w:line="360" w:lineRule="auto"/>
        <w:jc w:val="both"/>
      </w:pPr>
      <w:r>
        <w:rPr>
          <w:rFonts w:ascii="Times New Roman Bold" w:hAnsi="Times New Roman Bold" w:cs="Times New Roman Bold"/>
          <w:b/>
          <w:bCs/>
        </w:rPr>
        <w:t xml:space="preserve">Conclusion: </w:t>
      </w:r>
      <w:r>
        <w:t>Ada East District’s vulnerability is driven by geographical exposure, fragile infrastructure, ecosystem degradation, and entrenched social inequalities. Communities across the coastal, inland, and island zones face overlapping risks of flooding, erosion, drought, and salinization, with agriculture and fisheries most affected. Women, persons with disabilities, and marginalized groups bear disproportionate burdens due to structural inequalities and limited support systems. Urgent investments in livelihoods, w</w:t>
      </w:r>
      <w:r>
        <w:t>ater security, infrastructure resilience, health systems, ecosystem restoration, and inclusive governance are needed to secure the district’s climate-resilient development pathway.</w:t>
      </w:r>
    </w:p>
    <w:p w14:paraId="3031796E" w14:textId="77777777" w:rsidR="0099599B" w:rsidRDefault="00EB7A3F">
      <w:pPr>
        <w:spacing w:line="360" w:lineRule="auto"/>
        <w:jc w:val="both"/>
        <w:rPr>
          <w:rStyle w:val="Heading1Char"/>
        </w:rPr>
      </w:pPr>
      <w:r>
        <w:rPr>
          <w:rStyle w:val="Heading1Char"/>
        </w:rPr>
        <w:br w:type="page"/>
      </w:r>
    </w:p>
    <w:p w14:paraId="750C4973" w14:textId="77777777" w:rsidR="0099599B" w:rsidRDefault="0099599B">
      <w:pPr>
        <w:spacing w:line="360" w:lineRule="auto"/>
        <w:rPr>
          <w:rStyle w:val="Heading1Char"/>
        </w:rPr>
        <w:sectPr w:rsidR="0099599B">
          <w:footerReference w:type="default" r:id="rId15"/>
          <w:pgSz w:w="12240" w:h="15840"/>
          <w:pgMar w:top="1440" w:right="1440" w:bottom="1440" w:left="1440" w:header="720" w:footer="720" w:gutter="0"/>
          <w:pgNumType w:fmt="upperRoman" w:start="1"/>
          <w:cols w:space="0"/>
          <w:docGrid w:linePitch="360"/>
        </w:sectPr>
      </w:pPr>
    </w:p>
    <w:p w14:paraId="736AAE78" w14:textId="77777777" w:rsidR="0099599B" w:rsidRDefault="00EB7A3F">
      <w:pPr>
        <w:spacing w:line="360" w:lineRule="auto"/>
        <w:rPr>
          <w:rStyle w:val="Heading1Char"/>
        </w:rPr>
      </w:pPr>
      <w:bookmarkStart w:id="6" w:name="_Toc2567"/>
      <w:r>
        <w:rPr>
          <w:rStyle w:val="Heading1Char"/>
        </w:rPr>
        <w:lastRenderedPageBreak/>
        <w:t>CHAPTER 1</w:t>
      </w:r>
    </w:p>
    <w:p w14:paraId="5EB42ECC" w14:textId="77777777" w:rsidR="0099599B" w:rsidRDefault="00EB7A3F">
      <w:pPr>
        <w:pStyle w:val="Heading2"/>
      </w:pPr>
      <w:bookmarkStart w:id="7" w:name="_Toc15191"/>
      <w:bookmarkEnd w:id="6"/>
      <w:r>
        <w:t xml:space="preserve">1.1 </w:t>
      </w:r>
      <w:r>
        <w:t>BACKGROUND</w:t>
      </w:r>
      <w:bookmarkEnd w:id="7"/>
      <w:r>
        <w:tab/>
      </w:r>
    </w:p>
    <w:p w14:paraId="41743608" w14:textId="77777777" w:rsidR="0099599B" w:rsidRDefault="00EB7A3F">
      <w:pPr>
        <w:spacing w:line="360" w:lineRule="auto"/>
        <w:jc w:val="both"/>
      </w:pPr>
      <w:r>
        <w:t>Climate change is intensifying the frequency and severity of natural hazards worldwide, with profound social, economic, and environmental consequences. Rising sea levels, shifting rainfall patterns, and increasing temperature extremes are driving heightened exposure to floods, droughts, storms, and coastal erosion (IPCC, 2021). Community vulnerability to these risks is shaped not only by biophysical processes but also by socio-economic conditions such as poverty, livelihood dependence, and governance struct</w:t>
      </w:r>
      <w:r>
        <w:t>ures (Birkmann et al., 2022). Against this backdrop, vulnerability and risk assessments have become essential for identifying at-risk populations, prioritizing adaptation actions, and guiding evidence-based policymaking (Sethamo &amp; Harder, 2021).</w:t>
      </w:r>
    </w:p>
    <w:p w14:paraId="2249964B" w14:textId="77777777" w:rsidR="0099599B" w:rsidRDefault="00EB7A3F">
      <w:pPr>
        <w:spacing w:line="360" w:lineRule="auto"/>
        <w:jc w:val="both"/>
      </w:pPr>
      <w:r>
        <w:t>In Africa, climate change compounds existing development challenges and amplifies inequalities across rural and urban contexts. Many countries already face climate-related stresses on food security, water resources, and public health (Serdeczny et al., 2017). Evidence shows that limited adaptive capacity, coupled with heavy reliance on climate-sensitive livelihoods such as agriculture and fisheries, heightens vulnerability to environmental hazards (Makondo &amp; Thomah, 2024). These realities reinforce the impo</w:t>
      </w:r>
      <w:r>
        <w:t>rtance of locally grounded, context-specific vulnerability assessments that integrate scientific analysis with community-based knowledge (Letsyo, 2015).</w:t>
      </w:r>
    </w:p>
    <w:p w14:paraId="7C17765C" w14:textId="77777777" w:rsidR="0099599B" w:rsidRDefault="00EB7A3F">
      <w:pPr>
        <w:spacing w:line="360" w:lineRule="auto"/>
        <w:jc w:val="both"/>
      </w:pPr>
      <w:r>
        <w:t>Ghana, like many West African countries, has undergone a shifting risk profile, with rising temperatures, unpredictable rainfall, more frequent extreme events, and growing socio-economic pressures. Increasing incidences of flooding, drought, coastal erosion, and land degradation are undermining sustainable development (Johnson, 2024). Vulnerability is spatially differentiated: the northern savannahs are more exposed to drought, while southern coastal areas face greater risks of flooding and erosion (Adaawen</w:t>
      </w:r>
      <w:r>
        <w:t>, 2021; Boafo, Lah &amp; Manteaw, 2025). Socio-economic vulnerabilities are equally significant, as a large share of the population depends on rain-fed agriculture, fisheries, and informal economic activities—sectors highly sensitive to climate variability (Osei, 2024).</w:t>
      </w:r>
    </w:p>
    <w:p w14:paraId="2B24B3B0" w14:textId="77777777" w:rsidR="0099599B" w:rsidRDefault="00EB7A3F">
      <w:pPr>
        <w:spacing w:line="360" w:lineRule="auto"/>
        <w:jc w:val="both"/>
      </w:pPr>
      <w:r>
        <w:t xml:space="preserve">Ghana’s coastal zones present particularly acute risks. Rapid urbanization, unsustainable land use, and weak enforcement of planning regulations have intensified the impacts of climate hazards </w:t>
      </w:r>
      <w:r>
        <w:lastRenderedPageBreak/>
        <w:t>(Appeaning Addo et al., 2023). Shoreline retreat, saltwater intrusion, and storm surges disrupt settlements and livelihoods, especially for communities dependent on fishing and small-scale agriculture (Ankrah et al., 2023). Social dimensions such as poverty, limited access to early warning systems, and weak disaster preparedness further exacerbate vulnerability (Pienaah et al., 2023). These risks point to the urgent need for district-level vulnerability assessments to inform adaptation planning and policy.</w:t>
      </w:r>
    </w:p>
    <w:p w14:paraId="3A0E41FA" w14:textId="77777777" w:rsidR="0099599B" w:rsidRDefault="00EB7A3F">
      <w:pPr>
        <w:spacing w:line="360" w:lineRule="auto"/>
        <w:jc w:val="both"/>
      </w:pPr>
      <w:r>
        <w:t>Ada East District in the Greater Accra Region exemplifies these challenges. Its geographical location at the Volta River estuary exposes it to multiple climate-induced risks, including flooding, shoreline erosion, and saltwater intrusion (Abu et al., 2022). Local livelihoods, particularly fishing and small-scale farming, are highly climate-sensitive, while poverty, inadequate infrastructure, and weak disaster preparedness increase social fragility (Pienaah et al., 2023). The intersection of biophysical expo</w:t>
      </w:r>
      <w:r>
        <w:t>sure and socio-economic vulnerability makes Ada East a priority area for systematic climate risk assessment.</w:t>
      </w:r>
    </w:p>
    <w:p w14:paraId="5005E1E5" w14:textId="77777777" w:rsidR="0099599B" w:rsidRDefault="00EB7A3F">
      <w:pPr>
        <w:spacing w:line="360" w:lineRule="auto"/>
        <w:jc w:val="both"/>
      </w:pPr>
      <w:r>
        <w:t>Addressing these challenges requires robust frameworks and tools to evaluate the district’s exposure, sensitivity, and adaptive capacity. A comprehensive Vulnerability and Risk Assessment for Ada East would enable district authorities and national institutions to identify the most at-risk communities, design context-appropriate interventions, and minimize maladaptation. Beyond the district, such an assessment would contribute to national adaptation goals by strengthening evidence-based decision-making and a</w:t>
      </w:r>
      <w:r>
        <w:t>ligning local actions with Ghana’s climate policy commitments.</w:t>
      </w:r>
    </w:p>
    <w:p w14:paraId="0CB7F260" w14:textId="77777777" w:rsidR="0099599B" w:rsidRDefault="0099599B">
      <w:pPr>
        <w:spacing w:line="360" w:lineRule="auto"/>
        <w:rPr>
          <w:rStyle w:val="Heading2Char"/>
        </w:rPr>
      </w:pPr>
    </w:p>
    <w:p w14:paraId="07D9FABC" w14:textId="77777777" w:rsidR="0099599B" w:rsidRDefault="00EB7A3F">
      <w:pPr>
        <w:pStyle w:val="Heading2"/>
      </w:pPr>
      <w:bookmarkStart w:id="8" w:name="_Toc20252"/>
      <w:r>
        <w:rPr>
          <w:rStyle w:val="Heading2Char"/>
          <w:b/>
          <w:bCs/>
        </w:rPr>
        <w:t>1.2. Purpose and objective of the vulnerability assessment</w:t>
      </w:r>
      <w:bookmarkEnd w:id="8"/>
      <w:r>
        <w:tab/>
      </w:r>
    </w:p>
    <w:p w14:paraId="5074B811" w14:textId="77777777" w:rsidR="0099599B" w:rsidRDefault="00EB7A3F">
      <w:pPr>
        <w:spacing w:line="360" w:lineRule="auto"/>
        <w:jc w:val="both"/>
      </w:pPr>
      <w:r>
        <w:t>This Vulnerability and Risk Assessment (VRA) report has been developed for the Ada East District to provide a systematic understanding of the district’s exposure, sensitivity and adaptive capacity to climate-related hazards. The assessment serves as a foundation for evidence-based decision-making and provides a critical knowledge base that stakeholders can draw on to guide future climate risk management and development initiatives.</w:t>
      </w:r>
    </w:p>
    <w:p w14:paraId="28C63FBD" w14:textId="77777777" w:rsidR="0099599B" w:rsidRDefault="00EB7A3F">
      <w:pPr>
        <w:spacing w:line="360" w:lineRule="auto"/>
        <w:jc w:val="both"/>
      </w:pPr>
      <w:r>
        <w:t>The specific aims are to:</w:t>
      </w:r>
    </w:p>
    <w:p w14:paraId="58880E26" w14:textId="77777777" w:rsidR="0099599B" w:rsidRDefault="00EB7A3F">
      <w:pPr>
        <w:numPr>
          <w:ilvl w:val="0"/>
          <w:numId w:val="2"/>
        </w:numPr>
        <w:spacing w:line="360" w:lineRule="auto"/>
        <w:jc w:val="both"/>
      </w:pPr>
      <w:r>
        <w:lastRenderedPageBreak/>
        <w:t>Identify and analyze key climate-related and non-climatic hazards affecting Ada East District, with a focus on flooding, coastal erosion and saltwater intrusion.</w:t>
      </w:r>
    </w:p>
    <w:p w14:paraId="7693B57F" w14:textId="77777777" w:rsidR="0099599B" w:rsidRDefault="00EB7A3F">
      <w:pPr>
        <w:numPr>
          <w:ilvl w:val="0"/>
          <w:numId w:val="2"/>
        </w:numPr>
        <w:spacing w:line="360" w:lineRule="auto"/>
        <w:jc w:val="both"/>
      </w:pPr>
      <w:r>
        <w:t>Assess the vulnerability and risk profiles of communities, sectors and livelihoods by examining exposure, sensitivity and adaptive capacity across social, economic and environmental dimensions.</w:t>
      </w:r>
    </w:p>
    <w:p w14:paraId="1BA6C658" w14:textId="77777777" w:rsidR="0099599B" w:rsidRDefault="00EB7A3F">
      <w:pPr>
        <w:numPr>
          <w:ilvl w:val="0"/>
          <w:numId w:val="2"/>
        </w:numPr>
        <w:spacing w:line="360" w:lineRule="auto"/>
        <w:jc w:val="both"/>
      </w:pPr>
      <w:r>
        <w:t>Map and document the spatial distribution of risks to highlight the most exposed and least resilient areas, thereby providing baseline data for integration into district development and disaster risk management strategies.</w:t>
      </w:r>
    </w:p>
    <w:p w14:paraId="6813E586" w14:textId="77777777" w:rsidR="0099599B" w:rsidRDefault="00EB7A3F">
      <w:pPr>
        <w:numPr>
          <w:ilvl w:val="0"/>
          <w:numId w:val="2"/>
        </w:numPr>
        <w:spacing w:line="360" w:lineRule="auto"/>
        <w:jc w:val="both"/>
      </w:pPr>
      <w:r>
        <w:t>Produce knowledge products that enhance awareness, inform decision-making, and facilitate resource mobilization for adaptation finance.</w:t>
      </w:r>
    </w:p>
    <w:p w14:paraId="5E59316D" w14:textId="77777777" w:rsidR="0099599B" w:rsidRDefault="00EB7A3F">
      <w:pPr>
        <w:numPr>
          <w:ilvl w:val="0"/>
          <w:numId w:val="2"/>
        </w:numPr>
        <w:spacing w:line="360" w:lineRule="auto"/>
        <w:jc w:val="both"/>
      </w:pPr>
      <w:r>
        <w:t>Strengthen local ownership and capacity by engaging stakeholders particularly women, youth, migrants and persons with disabilities in participatory processes that build knowledge, validate findings, and co-create adaptation strategies.</w:t>
      </w:r>
    </w:p>
    <w:p w14:paraId="1ECA0415" w14:textId="77777777" w:rsidR="0099599B" w:rsidRDefault="00EB7A3F">
      <w:pPr>
        <w:numPr>
          <w:ilvl w:val="0"/>
          <w:numId w:val="2"/>
        </w:numPr>
        <w:spacing w:line="360" w:lineRule="auto"/>
        <w:jc w:val="both"/>
      </w:pPr>
      <w:r>
        <w:t xml:space="preserve">Contribute to national adaptation efforts by feeding </w:t>
      </w:r>
      <w:r>
        <w:t>Ada East</w:t>
      </w:r>
      <w:r>
        <w:t xml:space="preserve"> District’s insights into regional synthesis reports and the national knowledge base, thereby supporting Ghana’s reporting under the UNFCCC, NDCs, and Sustainable Development Goals (SDGs).</w:t>
      </w:r>
    </w:p>
    <w:p w14:paraId="470B592B" w14:textId="77777777" w:rsidR="0099599B" w:rsidRDefault="0099599B">
      <w:pPr>
        <w:spacing w:line="360" w:lineRule="auto"/>
      </w:pPr>
    </w:p>
    <w:p w14:paraId="1968A1A9" w14:textId="77777777" w:rsidR="0099599B" w:rsidRDefault="00EB7A3F">
      <w:pPr>
        <w:pStyle w:val="Heading2"/>
        <w:spacing w:line="360" w:lineRule="auto"/>
      </w:pPr>
      <w:bookmarkStart w:id="9" w:name="_Toc19807"/>
      <w:r>
        <w:t>1.3 Scope of VA</w:t>
      </w:r>
      <w:bookmarkEnd w:id="9"/>
      <w:r>
        <w:tab/>
      </w:r>
    </w:p>
    <w:p w14:paraId="5E0E9E78" w14:textId="77777777" w:rsidR="0099599B" w:rsidRDefault="00EB7A3F">
      <w:pPr>
        <w:spacing w:line="360" w:lineRule="auto"/>
        <w:jc w:val="both"/>
      </w:pPr>
      <w:r>
        <w:rPr>
          <w:b/>
          <w:bCs/>
        </w:rPr>
        <w:t>Sectors:</w:t>
      </w:r>
      <w:r>
        <w:t xml:space="preserve"> The Vulnerability and Risk Assessment (VRA) adopts a cross-sectoral approach, recognizing that climate change impacts are interconnected and often cascading. The analysis focuses on key sectors that are particularly exposed in Ada East, including agriculture (crops, livestock and fisheries), health and sanitation, water resources, transportation and physical infrastructure, biodiversity and natural resources, as well as tourism. This sectoral framing is consistent with Ghana’s National Adaptation Plan (NAP</w:t>
      </w:r>
      <w:r>
        <w:t>) Framework, ensuring that the findings contribute to broader national adaptation priorities.</w:t>
      </w:r>
    </w:p>
    <w:p w14:paraId="71E245C5" w14:textId="77777777" w:rsidR="0099599B" w:rsidRDefault="00EB7A3F">
      <w:pPr>
        <w:spacing w:line="360" w:lineRule="auto"/>
        <w:jc w:val="both"/>
      </w:pPr>
      <w:r>
        <w:rPr>
          <w:b/>
          <w:bCs/>
        </w:rPr>
        <w:t>Geographic Scope:</w:t>
      </w:r>
      <w:r>
        <w:t xml:space="preserve"> The assessment covers the Ada East District in the Greater Accra Region, located within the coastal savannah agro-ecological zone. Its position at the Volta River estuary </w:t>
      </w:r>
      <w:r>
        <w:lastRenderedPageBreak/>
        <w:t>makes it highly vulnerable to hazards such as coastal erosion, flooding, tidal surges and saltwater intrusion. For analysis, the district’s sub-structures and communities serve as the primary units, with household-level data aggregated to provide insights into spatial patterns of exposure and vulnerability.</w:t>
      </w:r>
    </w:p>
    <w:p w14:paraId="109B9127" w14:textId="77777777" w:rsidR="0099599B" w:rsidRDefault="00EB7A3F">
      <w:pPr>
        <w:spacing w:line="360" w:lineRule="auto"/>
        <w:jc w:val="both"/>
      </w:pPr>
      <w:r>
        <w:rPr>
          <w:b/>
          <w:bCs/>
        </w:rPr>
        <w:t>Timeframe for Analysis:</w:t>
      </w:r>
      <w:r>
        <w:t xml:space="preserve"> Climate risks unfold over both immediate and long-term horizons. Accordingly, this VA/RA examines the district’s current vulnerabilities while also considering projected impacts of climate change up to the year 2100. This forward-looking perspective enables decision-makers to anticipate risks, plan for uncertainty and integrate long-term considerations into district development and disaster risk management strategies.</w:t>
      </w:r>
    </w:p>
    <w:p w14:paraId="3B1C3EF0" w14:textId="77777777" w:rsidR="0099599B" w:rsidRDefault="00EB7A3F">
      <w:pPr>
        <w:spacing w:line="360" w:lineRule="auto"/>
        <w:jc w:val="both"/>
      </w:pPr>
      <w:r>
        <w:rPr>
          <w:rFonts w:ascii="Times New Roman Bold" w:hAnsi="Times New Roman Bold" w:cs="Times New Roman Bold"/>
          <w:b/>
          <w:bCs/>
        </w:rPr>
        <w:t xml:space="preserve">Gender Integration: </w:t>
      </w:r>
      <w:r>
        <w:t xml:space="preserve">In </w:t>
      </w:r>
      <w:r>
        <w:t>Ada East</w:t>
      </w:r>
      <w:r>
        <w:t xml:space="preserve"> District, climate change impacts are experienced differently across social groups. Women carry the heaviest burdens through farming, water collection, caregiving, and trading, yet they often have limited decision-making power and access to resources. Youth face frequent school disruptions during climate shocks and have few livelihood opportunities, while the elderly and persons with disabilities are especially vulnerable to health risks and mobility challenges. Addressing these differentiated ne</w:t>
      </w:r>
      <w:r>
        <w:t>eds is critical for building resilience.</w:t>
      </w:r>
    </w:p>
    <w:p w14:paraId="45A758C0" w14:textId="77777777" w:rsidR="0099599B" w:rsidRDefault="00EB7A3F">
      <w:pPr>
        <w:spacing w:line="360" w:lineRule="auto"/>
        <w:jc w:val="both"/>
      </w:pPr>
      <w:r>
        <w:rPr>
          <w:rFonts w:ascii="Times New Roman Bold" w:hAnsi="Times New Roman Bold" w:cs="Times New Roman Bold"/>
          <w:b/>
          <w:bCs/>
        </w:rPr>
        <w:t xml:space="preserve">Consideration of Best Practices: </w:t>
      </w:r>
      <w:r>
        <w:t>Communities in the district are already applying coping practices such as crop diversification, small-scale irrigation, communal labor, soil conservation, and tree planting. These approaches provide useful lessons for adaptation and should be strengthened and scaled up with technical and financial support. Harmful practices, including uncontrolled logging, artisanal mining, and slash-and-burn farming, must be avoided. Future strategies should remain practical, affordable, socially inclusive, and environment</w:t>
      </w:r>
      <w:r>
        <w:t>ally sustainable.</w:t>
      </w:r>
    </w:p>
    <w:p w14:paraId="4004963E" w14:textId="77777777" w:rsidR="0099599B" w:rsidRDefault="00EB7A3F">
      <w:pPr>
        <w:spacing w:line="360" w:lineRule="auto"/>
        <w:jc w:val="both"/>
      </w:pPr>
      <w:r>
        <w:rPr>
          <w:rFonts w:ascii="Times New Roman Bold" w:hAnsi="Times New Roman Bold" w:cs="Times New Roman Bold"/>
          <w:b/>
          <w:bCs/>
        </w:rPr>
        <w:t xml:space="preserve">Validation: </w:t>
      </w:r>
      <w:r>
        <w:t>The assessment process should include feedback and validation with communities through participatory workshops, ensuring that findings reflect lived experiences. Ongoing dialogue between local authorities, traditional leaders, women’s groups, and youth is essential for strengthening ownership. Integrating local knowledge with scientific evidence also help build stronger and more responsive governance.</w:t>
      </w:r>
    </w:p>
    <w:p w14:paraId="0B048FDC" w14:textId="77777777" w:rsidR="0099599B" w:rsidRDefault="00EB7A3F">
      <w:pPr>
        <w:spacing w:line="360" w:lineRule="auto"/>
        <w:jc w:val="both"/>
      </w:pPr>
      <w:r>
        <w:rPr>
          <w:rFonts w:ascii="Times New Roman Bold" w:hAnsi="Times New Roman Bold" w:cs="Times New Roman Bold"/>
          <w:b/>
          <w:bCs/>
        </w:rPr>
        <w:t>Integration into Other Processes:</w:t>
      </w:r>
      <w:r>
        <w:t xml:space="preserve"> Findings from </w:t>
      </w:r>
      <w:r>
        <w:t>Ada East</w:t>
      </w:r>
      <w:r>
        <w:t xml:space="preserve"> should be linked with the broader Eastern Region resilience strategies and serve as a reference for other forest-transition zones facing </w:t>
      </w:r>
      <w:r>
        <w:lastRenderedPageBreak/>
        <w:t>similar hazards. Alignment with Ghana’s National Adaptation Plan, Nationally Determined Contributions, and sectoral policies is necessary to ensure that this CRVA contributes directly to national adaptation priorities.</w:t>
      </w:r>
    </w:p>
    <w:p w14:paraId="490F9B66" w14:textId="77777777" w:rsidR="0099599B" w:rsidRDefault="0099599B">
      <w:pPr>
        <w:spacing w:line="360" w:lineRule="auto"/>
      </w:pPr>
    </w:p>
    <w:p w14:paraId="76C985E6" w14:textId="77777777" w:rsidR="0099599B" w:rsidRDefault="00EB7A3F">
      <w:pPr>
        <w:pStyle w:val="Heading2"/>
        <w:spacing w:line="360" w:lineRule="auto"/>
      </w:pPr>
      <w:bookmarkStart w:id="10" w:name="_Toc21455"/>
      <w:r>
        <w:t>1.4 Outputs of the VA</w:t>
      </w:r>
      <w:bookmarkEnd w:id="10"/>
      <w:r>
        <w:tab/>
      </w:r>
    </w:p>
    <w:p w14:paraId="2C22AD56" w14:textId="77777777" w:rsidR="0099599B" w:rsidRDefault="00EB7A3F">
      <w:pPr>
        <w:tabs>
          <w:tab w:val="left" w:pos="420"/>
        </w:tabs>
        <w:spacing w:line="360" w:lineRule="auto"/>
      </w:pPr>
      <w:r>
        <w:t>The Vulnerability Assessment (VA) for Ada East District generated seven key outputs, each providing critical evidence to guide decision-making and strengthen the district’s preparedness for climate risks. These outputs are outlined below:</w:t>
      </w:r>
    </w:p>
    <w:p w14:paraId="49607B8E" w14:textId="77777777" w:rsidR="0099599B" w:rsidRDefault="00EB7A3F">
      <w:pPr>
        <w:numPr>
          <w:ilvl w:val="0"/>
          <w:numId w:val="3"/>
        </w:numPr>
        <w:tabs>
          <w:tab w:val="clear" w:pos="845"/>
          <w:tab w:val="left" w:pos="420"/>
        </w:tabs>
        <w:spacing w:line="360" w:lineRule="auto"/>
      </w:pPr>
      <w:r>
        <w:rPr>
          <w:b/>
          <w:bCs/>
        </w:rPr>
        <w:t>Climate Projections and Scenarios:</w:t>
      </w:r>
      <w:r>
        <w:t xml:space="preserve"> Development of Climate Projections and Scenarios for Ada East District to show possible changes in temperature, rainfall and extreme events.</w:t>
      </w:r>
    </w:p>
    <w:p w14:paraId="1570E316" w14:textId="77777777" w:rsidR="0099599B" w:rsidRDefault="00EB7A3F">
      <w:pPr>
        <w:numPr>
          <w:ilvl w:val="0"/>
          <w:numId w:val="3"/>
        </w:numPr>
        <w:tabs>
          <w:tab w:val="clear" w:pos="845"/>
          <w:tab w:val="left" w:pos="420"/>
        </w:tabs>
        <w:spacing w:line="360" w:lineRule="auto"/>
      </w:pPr>
      <w:r>
        <w:rPr>
          <w:b/>
          <w:bCs/>
        </w:rPr>
        <w:t>Vulnerability Narratives:</w:t>
      </w:r>
      <w:r>
        <w:t xml:space="preserve"> District-specific narratives were created to capture how climate change affects communities and livelihoods.</w:t>
      </w:r>
    </w:p>
    <w:p w14:paraId="26C47712" w14:textId="77777777" w:rsidR="0099599B" w:rsidRDefault="00EB7A3F">
      <w:pPr>
        <w:numPr>
          <w:ilvl w:val="0"/>
          <w:numId w:val="3"/>
        </w:numPr>
        <w:tabs>
          <w:tab w:val="clear" w:pos="845"/>
          <w:tab w:val="left" w:pos="420"/>
        </w:tabs>
        <w:spacing w:line="360" w:lineRule="auto"/>
      </w:pPr>
      <w:r>
        <w:rPr>
          <w:b/>
          <w:bCs/>
        </w:rPr>
        <w:t>Future Vulnerabilities:</w:t>
      </w:r>
      <w:r>
        <w:t xml:space="preserve"> Potential future risks to sectors, resources and populations were identified under projected climate scenarios.</w:t>
      </w:r>
    </w:p>
    <w:p w14:paraId="5A18AA3B" w14:textId="77777777" w:rsidR="0099599B" w:rsidRDefault="00EB7A3F">
      <w:pPr>
        <w:numPr>
          <w:ilvl w:val="0"/>
          <w:numId w:val="3"/>
        </w:numPr>
        <w:tabs>
          <w:tab w:val="clear" w:pos="845"/>
          <w:tab w:val="left" w:pos="420"/>
        </w:tabs>
        <w:spacing w:line="360" w:lineRule="auto"/>
      </w:pPr>
      <w:r>
        <w:rPr>
          <w:b/>
          <w:bCs/>
        </w:rPr>
        <w:t>Pathways of Vulnerability:</w:t>
      </w:r>
      <w:r>
        <w:t xml:space="preserve"> Links between current vulnerabilities and expected future impacts were analyzed.</w:t>
      </w:r>
    </w:p>
    <w:p w14:paraId="7F477837" w14:textId="77777777" w:rsidR="0099599B" w:rsidRDefault="00EB7A3F">
      <w:pPr>
        <w:numPr>
          <w:ilvl w:val="0"/>
          <w:numId w:val="3"/>
        </w:numPr>
        <w:tabs>
          <w:tab w:val="clear" w:pos="845"/>
          <w:tab w:val="left" w:pos="420"/>
        </w:tabs>
        <w:spacing w:line="360" w:lineRule="auto"/>
      </w:pPr>
      <w:r>
        <w:rPr>
          <w:b/>
          <w:bCs/>
        </w:rPr>
        <w:t>Sectoral Prioritization:</w:t>
      </w:r>
      <w:r>
        <w:t xml:space="preserve"> Key climate-sensitive sectors—including agriculture, water, health, energy and infrastructure—were assessed and prioritized.</w:t>
      </w:r>
    </w:p>
    <w:p w14:paraId="73DBCD90" w14:textId="77777777" w:rsidR="0099599B" w:rsidRDefault="00EB7A3F">
      <w:pPr>
        <w:numPr>
          <w:ilvl w:val="0"/>
          <w:numId w:val="3"/>
        </w:numPr>
        <w:tabs>
          <w:tab w:val="clear" w:pos="845"/>
          <w:tab w:val="left" w:pos="420"/>
        </w:tabs>
        <w:spacing w:line="360" w:lineRule="auto"/>
      </w:pPr>
      <w:r>
        <w:rPr>
          <w:b/>
          <w:bCs/>
        </w:rPr>
        <w:t>Vulnerability Hotspot Mapping:</w:t>
      </w:r>
      <w:r>
        <w:t xml:space="preserve"> A spatial map of areas most at risk from climate impacts within the district was produced.</w:t>
      </w:r>
    </w:p>
    <w:p w14:paraId="526A099E" w14:textId="77777777" w:rsidR="0099599B" w:rsidRDefault="00EB7A3F">
      <w:pPr>
        <w:numPr>
          <w:ilvl w:val="0"/>
          <w:numId w:val="3"/>
        </w:numPr>
        <w:tabs>
          <w:tab w:val="clear" w:pos="845"/>
          <w:tab w:val="left" w:pos="420"/>
        </w:tabs>
        <w:spacing w:line="360" w:lineRule="auto"/>
      </w:pPr>
      <w:r>
        <w:rPr>
          <w:b/>
          <w:bCs/>
        </w:rPr>
        <w:t>Resilience Options:</w:t>
      </w:r>
      <w:r>
        <w:t xml:space="preserve"> Possible measures for reducing risks and enhancing community resilience were outlined.</w:t>
      </w:r>
    </w:p>
    <w:p w14:paraId="48FFD96D" w14:textId="77777777" w:rsidR="0099599B" w:rsidRDefault="0099599B">
      <w:pPr>
        <w:spacing w:line="360" w:lineRule="auto"/>
      </w:pPr>
    </w:p>
    <w:p w14:paraId="1A44FB13" w14:textId="77777777" w:rsidR="0099599B" w:rsidRDefault="00EB7A3F">
      <w:pPr>
        <w:pStyle w:val="Heading2"/>
        <w:spacing w:line="360" w:lineRule="auto"/>
      </w:pPr>
      <w:bookmarkStart w:id="11" w:name="_Toc29447"/>
      <w:r>
        <w:t>1.5 Guiding Principles</w:t>
      </w:r>
      <w:bookmarkEnd w:id="11"/>
      <w:r>
        <w:tab/>
      </w:r>
    </w:p>
    <w:p w14:paraId="6360BE86" w14:textId="77777777" w:rsidR="0099599B" w:rsidRDefault="00EB7A3F">
      <w:pPr>
        <w:spacing w:line="360" w:lineRule="auto"/>
        <w:jc w:val="both"/>
      </w:pPr>
      <w:r>
        <w:rPr>
          <w:b/>
          <w:bCs/>
        </w:rPr>
        <w:lastRenderedPageBreak/>
        <w:t>- Guided by the National Adaptation Plan Processes</w:t>
      </w:r>
      <w:r>
        <w:t>: This assessment is situated within Ghana’s National Adaptation Plan (NAP) Framework, which provides a national roadmap for climate risk and vulnerability assemessment and adaptation. It recognizes the roles of key institutions, including the Environmental Protection Agency (EPA), the Ministry of Environment, Science and Technology, the Ministry of Food and Agriculture (MoFA) and the National Disaster Management Organisation (NADMO), ensuring alignment with ongoing national initiatives.</w:t>
      </w:r>
    </w:p>
    <w:p w14:paraId="117A047B" w14:textId="77777777" w:rsidR="0099599B" w:rsidRDefault="00EB7A3F">
      <w:pPr>
        <w:spacing w:line="360" w:lineRule="auto"/>
        <w:jc w:val="both"/>
      </w:pPr>
      <w:r>
        <w:rPr>
          <w:b/>
          <w:bCs/>
        </w:rPr>
        <w:t>- Grounded in Scientific Evidence through Participatory Approach:</w:t>
      </w:r>
      <w:r>
        <w:t xml:space="preserve"> The methodology is informed by climate science, hazard mapping and vulnerability assessment frameworks. Scientific data on sea-level rise, coastal erosion and flood patterns are combined with socio-economic indicators to provide a robust evidence base. Also, participatory research approach is employed to ensure local ownership of the Assessment. As such, stakeholder engagements are central to this process. By involving district authorities, community leaders and local organizations, the assessment strength</w:t>
      </w:r>
      <w:r>
        <w:t>ens ownership and ensures that findings reflect community realities and priorities.</w:t>
      </w:r>
    </w:p>
    <w:p w14:paraId="110AA872" w14:textId="77777777" w:rsidR="0099599B" w:rsidRDefault="00EB7A3F">
      <w:pPr>
        <w:spacing w:line="360" w:lineRule="auto"/>
        <w:jc w:val="both"/>
      </w:pPr>
      <w:r>
        <w:rPr>
          <w:b/>
          <w:bCs/>
        </w:rPr>
        <w:t>- Integration of Ecosystem-Based Approaches:</w:t>
      </w:r>
      <w:r>
        <w:t xml:space="preserve"> While the focus is on vulnerability and risks, the assessment acknowledges the importance of ecosystems in reducing exposure. </w:t>
      </w:r>
    </w:p>
    <w:p w14:paraId="60ECD502" w14:textId="77777777" w:rsidR="0099599B" w:rsidRDefault="00EB7A3F">
      <w:pPr>
        <w:spacing w:line="360" w:lineRule="auto"/>
        <w:jc w:val="both"/>
      </w:pPr>
      <w:r>
        <w:rPr>
          <w:b/>
          <w:bCs/>
        </w:rPr>
        <w:t xml:space="preserve">- Consistency with Development Agendas: </w:t>
      </w:r>
      <w:r>
        <w:t>The assessment aligns with Ghana’s Medium-Term Development Policy Frameworks and the Sustainable Development Goals (SDGs). It aims to highlight risks and vulnerabilities in a way that supports national and district development priorities while minimizing potential trade-offs.</w:t>
      </w:r>
    </w:p>
    <w:p w14:paraId="78B4A562" w14:textId="77777777" w:rsidR="0099599B" w:rsidRDefault="00EB7A3F">
      <w:pPr>
        <w:spacing w:line="360" w:lineRule="auto"/>
        <w:jc w:val="both"/>
      </w:pPr>
      <w:r>
        <w:rPr>
          <w:b/>
          <w:bCs/>
        </w:rPr>
        <w:t xml:space="preserve">- Recognition of Indigenous and Local Knowledge: </w:t>
      </w:r>
      <w:r>
        <w:t>The lived experiences and traditional knowledge of communities in Ada East offer critical insights into long-standing coping mechanisms for climate variability. This assessment incorporates such perspectives to complement scientific analysis and ensure local relevance.</w:t>
      </w:r>
    </w:p>
    <w:p w14:paraId="4539A3E0" w14:textId="77777777" w:rsidR="0099599B" w:rsidRDefault="00EB7A3F">
      <w:pPr>
        <w:spacing w:line="360" w:lineRule="auto"/>
        <w:jc w:val="both"/>
      </w:pPr>
      <w:r>
        <w:rPr>
          <w:b/>
          <w:bCs/>
        </w:rPr>
        <w:t xml:space="preserve">- Social and Gender Responsiveness: </w:t>
      </w:r>
      <w:r>
        <w:t>Vulnerability in Ada East is not uniform. Women, children, youth and persons with disabilities often face greater climate risks due to social and economic disadvantages. This assessment deliberately integrates gender and social inclusion perspectives to capture the differentiated impacts of climate hazards on these groups.</w:t>
      </w:r>
    </w:p>
    <w:p w14:paraId="4F50AB34" w14:textId="77777777" w:rsidR="0099599B" w:rsidRDefault="00EB7A3F">
      <w:pPr>
        <w:spacing w:line="360" w:lineRule="auto"/>
        <w:jc w:val="both"/>
      </w:pPr>
      <w:r>
        <w:rPr>
          <w:b/>
          <w:bCs/>
        </w:rPr>
        <w:lastRenderedPageBreak/>
        <w:t xml:space="preserve">- Multi-Sectoral and Systems Approach: </w:t>
      </w:r>
      <w:r>
        <w:t>Climate risks cut across multiple sectors including agriculture, fisheries, water, health, infrastructure, and natural resources. The CRVA adopts a systems approach, examining how risks interact across these sectors, and how interventions in one domain (e.g., coastal protection) can create synergies or trade-offs in others (e.g., fisheries, livelihoods, or ecosystems).</w:t>
      </w:r>
    </w:p>
    <w:p w14:paraId="64C4DA22" w14:textId="77777777" w:rsidR="0099599B" w:rsidRDefault="0099599B">
      <w:pPr>
        <w:spacing w:line="360" w:lineRule="auto"/>
      </w:pPr>
    </w:p>
    <w:p w14:paraId="6EF127EF" w14:textId="77777777" w:rsidR="0099599B" w:rsidRDefault="00EB7A3F">
      <w:pPr>
        <w:pStyle w:val="Heading2"/>
        <w:spacing w:line="360" w:lineRule="auto"/>
      </w:pPr>
      <w:bookmarkStart w:id="12" w:name="_Toc6967"/>
      <w:r>
        <w:t>1.6 Definition of key terms and concepts</w:t>
      </w:r>
      <w:bookmarkEnd w:id="12"/>
      <w:r>
        <w:tab/>
      </w:r>
    </w:p>
    <w:p w14:paraId="3495F702" w14:textId="77777777" w:rsidR="0099599B" w:rsidRDefault="00EB7A3F">
      <w:pPr>
        <w:spacing w:line="360" w:lineRule="auto"/>
        <w:jc w:val="both"/>
      </w:pPr>
      <w:r>
        <w:t>This Vulnerability Assessment (VA) draws on the definitions and conceptual framing provided in the IPCC Sixth Assessment Report (AR6) on Impacts, Adaptation and Vulnerability (2022). Using a shared and consistent understanding of key terms is essential for developing approaches that respond effectively to the local context. As such, the terminology used throughout this report aligns with internationally recognized climate change concepts as presented by the IPCC. The main definitions guiding this assessment</w:t>
      </w:r>
      <w:r>
        <w:t xml:space="preserve"> are outlined below:</w:t>
      </w:r>
    </w:p>
    <w:p w14:paraId="7831D2E0" w14:textId="77777777" w:rsidR="0099599B" w:rsidRDefault="00EB7A3F">
      <w:pPr>
        <w:numPr>
          <w:ilvl w:val="0"/>
          <w:numId w:val="4"/>
        </w:numPr>
        <w:spacing w:line="360" w:lineRule="auto"/>
        <w:jc w:val="both"/>
      </w:pPr>
      <w:r>
        <w:rPr>
          <w:b/>
          <w:bCs/>
        </w:rPr>
        <w:t>Vulnerability:</w:t>
      </w:r>
      <w:r>
        <w:t xml:space="preserve"> For this assessment, vulnerability is understood as the tendency or predisposition to suffer harm. It combines aspects such as sensitivity or susceptibility to damage and the lack of capacity to cope with or adapt to changing conditions.</w:t>
      </w:r>
    </w:p>
    <w:p w14:paraId="2A73E2B2" w14:textId="77777777" w:rsidR="0099599B" w:rsidRDefault="00EB7A3F">
      <w:pPr>
        <w:numPr>
          <w:ilvl w:val="0"/>
          <w:numId w:val="4"/>
        </w:numPr>
        <w:spacing w:line="360" w:lineRule="auto"/>
        <w:jc w:val="both"/>
      </w:pPr>
      <w:r>
        <w:rPr>
          <w:b/>
          <w:bCs/>
        </w:rPr>
        <w:t>Adaptation:</w:t>
      </w:r>
      <w:r>
        <w:t xml:space="preserve"> Adaptation refers to the adjustments made in response to actual or anticipated climate impacts with the aim of reducing risks or harnessing opportunities. Within natural systems, it describes adjustments to actual climate and its effects, which may sometimes be facilitated by human actions.</w:t>
      </w:r>
    </w:p>
    <w:p w14:paraId="3ACCA24D" w14:textId="77777777" w:rsidR="0099599B" w:rsidRDefault="00EB7A3F">
      <w:pPr>
        <w:numPr>
          <w:ilvl w:val="0"/>
          <w:numId w:val="4"/>
        </w:numPr>
        <w:spacing w:line="360" w:lineRule="auto"/>
        <w:jc w:val="both"/>
      </w:pPr>
      <w:r>
        <w:rPr>
          <w:b/>
          <w:bCs/>
        </w:rPr>
        <w:t>Exposure:</w:t>
      </w:r>
      <w:r>
        <w:t xml:space="preserve"> This denotes the presence of people, livelihoods, species, ecosystems, environmental services and resources, infrastructure, or socio-economic and cultural assets in areas that are at risk of being negatively affected by climate impacts.</w:t>
      </w:r>
    </w:p>
    <w:p w14:paraId="577B436E" w14:textId="77777777" w:rsidR="0099599B" w:rsidRDefault="00EB7A3F">
      <w:pPr>
        <w:numPr>
          <w:ilvl w:val="0"/>
          <w:numId w:val="4"/>
        </w:numPr>
        <w:spacing w:line="360" w:lineRule="auto"/>
        <w:jc w:val="both"/>
      </w:pPr>
      <w:r>
        <w:rPr>
          <w:b/>
          <w:bCs/>
        </w:rPr>
        <w:t>Sensitivity:</w:t>
      </w:r>
      <w:r>
        <w:t xml:space="preserve"> Sensitivity is the degree to which a system is influenced, either positively or negatively, by climate-related stimuli. This influence may be direct, such as reduced crop yields in response to rising temperatures, or indirect, such as increased damage from coastal flooding driven by sea-level rise.</w:t>
      </w:r>
    </w:p>
    <w:p w14:paraId="2ED6BC89" w14:textId="77777777" w:rsidR="0099599B" w:rsidRDefault="00EB7A3F">
      <w:pPr>
        <w:numPr>
          <w:ilvl w:val="0"/>
          <w:numId w:val="4"/>
        </w:numPr>
        <w:spacing w:line="360" w:lineRule="auto"/>
        <w:jc w:val="both"/>
      </w:pPr>
      <w:r>
        <w:rPr>
          <w:b/>
          <w:bCs/>
        </w:rPr>
        <w:lastRenderedPageBreak/>
        <w:t>Adaptive Capacity:</w:t>
      </w:r>
      <w:r>
        <w:t xml:space="preserve"> This refers to the capability of a system to adjust to climate variability and extremes, to moderate potential harm, take advantage of emerging opportunities, or cope with the consequences of climate change.</w:t>
      </w:r>
    </w:p>
    <w:p w14:paraId="7F0BAAFC" w14:textId="77777777" w:rsidR="0099599B" w:rsidRDefault="00EB7A3F">
      <w:pPr>
        <w:numPr>
          <w:ilvl w:val="0"/>
          <w:numId w:val="4"/>
        </w:numPr>
        <w:spacing w:line="360" w:lineRule="auto"/>
        <w:jc w:val="both"/>
        <w:rPr>
          <w:rFonts w:ascii="Times New Roman Regular" w:hAnsi="Times New Roman Regular" w:cs="Times New Roman Regular"/>
        </w:rPr>
      </w:pPr>
      <w:r>
        <w:rPr>
          <w:rFonts w:ascii="Times New Roman Regular" w:hAnsi="Times New Roman Regular" w:cs="Times New Roman Regular"/>
          <w:b/>
          <w:bCs/>
        </w:rPr>
        <w:t>Climate Hazard:</w:t>
      </w:r>
      <w:r>
        <w:rPr>
          <w:rFonts w:ascii="Times New Roman Regular" w:hAnsi="Times New Roman Regular" w:cs="Times New Roman Regular"/>
        </w:rPr>
        <w:t xml:space="preserve"> A climate-related physical event, phenomenon, or trend with the potential for damage. Climate hazards include floods, droughts, storms, and sea-level rise. </w:t>
      </w:r>
    </w:p>
    <w:p w14:paraId="7DAB6FDE" w14:textId="77777777" w:rsidR="0099599B" w:rsidRDefault="00EB7A3F">
      <w:pPr>
        <w:numPr>
          <w:ilvl w:val="0"/>
          <w:numId w:val="4"/>
        </w:numPr>
        <w:spacing w:line="360" w:lineRule="auto"/>
        <w:jc w:val="both"/>
        <w:rPr>
          <w:rFonts w:ascii="Times New Roman Regular" w:hAnsi="Times New Roman Regular" w:cs="Times New Roman Regular"/>
        </w:rPr>
      </w:pPr>
      <w:r>
        <w:rPr>
          <w:rFonts w:ascii="Times New Roman Regular" w:hAnsi="Times New Roman Regular" w:cs="Times New Roman Regular"/>
          <w:b/>
          <w:bCs/>
        </w:rPr>
        <w:t>Resilience:</w:t>
      </w:r>
      <w:r>
        <w:rPr>
          <w:rFonts w:ascii="Times New Roman Regular" w:hAnsi="Times New Roman Regular" w:cs="Times New Roman Regular"/>
        </w:rPr>
        <w:t xml:space="preserve"> The capacity of social, economic, and ecological systems to anticipate, absorb, recover from, and adapt to climate shocks and stresses while maintaining core functions.</w:t>
      </w:r>
    </w:p>
    <w:p w14:paraId="34EF8E43" w14:textId="77777777" w:rsidR="0099599B" w:rsidRDefault="00EB7A3F">
      <w:pPr>
        <w:numPr>
          <w:ilvl w:val="0"/>
          <w:numId w:val="4"/>
        </w:numPr>
        <w:spacing w:line="360" w:lineRule="auto"/>
        <w:jc w:val="both"/>
        <w:rPr>
          <w:rFonts w:ascii="Times New Roman Regular" w:hAnsi="Times New Roman Regular" w:cs="Times New Roman Regular"/>
        </w:rPr>
      </w:pPr>
      <w:r>
        <w:rPr>
          <w:rFonts w:ascii="Times New Roman Bold" w:hAnsi="Times New Roman Bold" w:cs="Times New Roman Bold"/>
          <w:b/>
          <w:bCs/>
        </w:rPr>
        <w:t>Risk:</w:t>
      </w:r>
      <w:r>
        <w:rPr>
          <w:rFonts w:ascii="Times New Roman Regular" w:hAnsi="Times New Roman Regular" w:cs="Times New Roman Regular"/>
        </w:rPr>
        <w:t xml:space="preserve"> The potential for negative impacts arising from the interaction of hazards, exposure, and vulnerability.</w:t>
      </w:r>
    </w:p>
    <w:p w14:paraId="6531687E" w14:textId="77777777" w:rsidR="0099599B" w:rsidRDefault="00EB7A3F">
      <w:pPr>
        <w:numPr>
          <w:ilvl w:val="0"/>
          <w:numId w:val="4"/>
        </w:numPr>
        <w:spacing w:line="360" w:lineRule="auto"/>
        <w:jc w:val="both"/>
      </w:pPr>
      <w:r>
        <w:rPr>
          <w:rFonts w:ascii="Times New Roman Bold" w:hAnsi="Times New Roman Bold" w:cs="Times New Roman Bold"/>
          <w:b/>
          <w:bCs/>
        </w:rPr>
        <w:t>Livelihood Vulnerability Index:</w:t>
      </w:r>
      <w:r>
        <w:rPr>
          <w:rFonts w:ascii="Times New Roman Regular" w:hAnsi="Times New Roman Regular" w:cs="Times New Roman Regular"/>
        </w:rPr>
        <w:t xml:space="preserve"> A composite measure integrating exposure, sensitivity, and adaptive capacity at household or community levels to assess risks from climate variability and change. </w:t>
      </w:r>
    </w:p>
    <w:p w14:paraId="3382A6E8" w14:textId="77777777" w:rsidR="0099599B" w:rsidRDefault="0099599B">
      <w:pPr>
        <w:numPr>
          <w:ilvl w:val="255"/>
          <w:numId w:val="0"/>
        </w:numPr>
        <w:spacing w:line="360" w:lineRule="auto"/>
        <w:jc w:val="both"/>
        <w:rPr>
          <w:rFonts w:ascii="Times New Roman Regular" w:hAnsi="Times New Roman Regular" w:cs="Times New Roman Regular"/>
        </w:rPr>
      </w:pPr>
    </w:p>
    <w:p w14:paraId="3649D2CC" w14:textId="77777777" w:rsidR="0099599B" w:rsidRDefault="0099599B">
      <w:pPr>
        <w:numPr>
          <w:ilvl w:val="255"/>
          <w:numId w:val="0"/>
        </w:numPr>
        <w:spacing w:line="360" w:lineRule="auto"/>
        <w:jc w:val="both"/>
        <w:rPr>
          <w:rFonts w:ascii="Times New Roman Regular" w:hAnsi="Times New Roman Regular" w:cs="Times New Roman Regular"/>
        </w:rPr>
      </w:pPr>
    </w:p>
    <w:p w14:paraId="49289EA5" w14:textId="77777777" w:rsidR="0099599B" w:rsidRDefault="0099599B">
      <w:pPr>
        <w:numPr>
          <w:ilvl w:val="255"/>
          <w:numId w:val="0"/>
        </w:numPr>
        <w:spacing w:line="360" w:lineRule="auto"/>
        <w:jc w:val="both"/>
        <w:rPr>
          <w:rFonts w:ascii="Times New Roman Regular" w:hAnsi="Times New Roman Regular" w:cs="Times New Roman Regular"/>
        </w:rPr>
      </w:pPr>
    </w:p>
    <w:p w14:paraId="365B052C" w14:textId="77777777" w:rsidR="0099599B" w:rsidRDefault="0099599B">
      <w:pPr>
        <w:numPr>
          <w:ilvl w:val="255"/>
          <w:numId w:val="0"/>
        </w:numPr>
        <w:spacing w:line="360" w:lineRule="auto"/>
        <w:jc w:val="both"/>
        <w:rPr>
          <w:rFonts w:ascii="Times New Roman Regular" w:hAnsi="Times New Roman Regular" w:cs="Times New Roman Regular"/>
        </w:rPr>
      </w:pPr>
    </w:p>
    <w:p w14:paraId="5CE22BAB" w14:textId="77777777" w:rsidR="0099599B" w:rsidRDefault="0099599B">
      <w:pPr>
        <w:numPr>
          <w:ilvl w:val="255"/>
          <w:numId w:val="0"/>
        </w:numPr>
        <w:spacing w:line="360" w:lineRule="auto"/>
        <w:jc w:val="both"/>
        <w:rPr>
          <w:rFonts w:ascii="Times New Roman Regular" w:hAnsi="Times New Roman Regular" w:cs="Times New Roman Regular"/>
        </w:rPr>
      </w:pPr>
    </w:p>
    <w:p w14:paraId="6BB23249" w14:textId="77777777" w:rsidR="0099599B" w:rsidRDefault="0099599B">
      <w:pPr>
        <w:numPr>
          <w:ilvl w:val="255"/>
          <w:numId w:val="0"/>
        </w:numPr>
        <w:spacing w:line="360" w:lineRule="auto"/>
        <w:jc w:val="both"/>
        <w:rPr>
          <w:rFonts w:ascii="Times New Roman Regular" w:hAnsi="Times New Roman Regular" w:cs="Times New Roman Regular"/>
        </w:rPr>
      </w:pPr>
    </w:p>
    <w:p w14:paraId="2E3FFB54" w14:textId="77777777" w:rsidR="0099599B" w:rsidRDefault="0099599B">
      <w:pPr>
        <w:numPr>
          <w:ilvl w:val="255"/>
          <w:numId w:val="0"/>
        </w:numPr>
        <w:spacing w:line="360" w:lineRule="auto"/>
        <w:jc w:val="both"/>
        <w:rPr>
          <w:rFonts w:ascii="Times New Roman Regular" w:hAnsi="Times New Roman Regular" w:cs="Times New Roman Regular"/>
        </w:rPr>
      </w:pPr>
    </w:p>
    <w:p w14:paraId="67999310" w14:textId="77777777" w:rsidR="0099599B" w:rsidRDefault="0099599B">
      <w:pPr>
        <w:numPr>
          <w:ilvl w:val="255"/>
          <w:numId w:val="0"/>
        </w:numPr>
        <w:spacing w:line="360" w:lineRule="auto"/>
        <w:jc w:val="both"/>
        <w:rPr>
          <w:rFonts w:ascii="Times New Roman Regular" w:hAnsi="Times New Roman Regular" w:cs="Times New Roman Regular"/>
        </w:rPr>
      </w:pPr>
    </w:p>
    <w:p w14:paraId="09ABCCF2" w14:textId="77777777" w:rsidR="0099599B" w:rsidRDefault="0099599B">
      <w:pPr>
        <w:numPr>
          <w:ilvl w:val="255"/>
          <w:numId w:val="0"/>
        </w:numPr>
        <w:spacing w:line="360" w:lineRule="auto"/>
        <w:jc w:val="both"/>
        <w:rPr>
          <w:rFonts w:ascii="Times New Roman Regular" w:hAnsi="Times New Roman Regular" w:cs="Times New Roman Regular"/>
        </w:rPr>
      </w:pPr>
    </w:p>
    <w:p w14:paraId="1EE20442" w14:textId="77777777" w:rsidR="0099599B" w:rsidRDefault="0099599B">
      <w:pPr>
        <w:numPr>
          <w:ilvl w:val="255"/>
          <w:numId w:val="0"/>
        </w:numPr>
        <w:spacing w:line="360" w:lineRule="auto"/>
        <w:jc w:val="both"/>
        <w:rPr>
          <w:rFonts w:ascii="Times New Roman Regular" w:hAnsi="Times New Roman Regular" w:cs="Times New Roman Regular"/>
        </w:rPr>
      </w:pPr>
    </w:p>
    <w:p w14:paraId="5FCA0F1F" w14:textId="77777777" w:rsidR="0099599B" w:rsidRDefault="0099599B">
      <w:pPr>
        <w:numPr>
          <w:ilvl w:val="255"/>
          <w:numId w:val="0"/>
        </w:numPr>
        <w:spacing w:line="360" w:lineRule="auto"/>
        <w:jc w:val="both"/>
        <w:rPr>
          <w:rFonts w:ascii="Times New Roman Regular" w:hAnsi="Times New Roman Regular" w:cs="Times New Roman Regular"/>
        </w:rPr>
      </w:pPr>
    </w:p>
    <w:p w14:paraId="65B30C79" w14:textId="77777777" w:rsidR="0099599B" w:rsidRDefault="00EB7A3F">
      <w:pPr>
        <w:pStyle w:val="Heading2"/>
        <w:spacing w:line="360" w:lineRule="auto"/>
      </w:pPr>
      <w:bookmarkStart w:id="13" w:name="_Toc30931"/>
      <w:r>
        <w:t xml:space="preserve">1.7 Methodological Framework for the VA </w:t>
      </w:r>
      <w:r>
        <w:t>P</w:t>
      </w:r>
      <w:r>
        <w:t>rocess</w:t>
      </w:r>
      <w:bookmarkEnd w:id="13"/>
      <w:r>
        <w:tab/>
      </w:r>
    </w:p>
    <w:p w14:paraId="20F27399" w14:textId="77777777" w:rsidR="0099599B" w:rsidRDefault="00EB7A3F">
      <w:pPr>
        <w:spacing w:before="100" w:beforeAutospacing="1" w:after="100" w:afterAutospacing="1" w:line="240" w:lineRule="auto"/>
        <w:jc w:val="both"/>
        <w:rPr>
          <w:rFonts w:eastAsia="Times New Roman"/>
          <w:kern w:val="0"/>
          <w14:ligatures w14:val="none"/>
        </w:rPr>
      </w:pPr>
      <w:r>
        <w:rPr>
          <w:rFonts w:eastAsia="Times New Roman"/>
          <w:b/>
          <w:bCs/>
          <w:kern w:val="0"/>
          <w14:ligatures w14:val="none"/>
        </w:rPr>
        <w:lastRenderedPageBreak/>
        <w:t>Approach.</w:t>
      </w:r>
      <w:r>
        <w:rPr>
          <w:rFonts w:eastAsia="Times New Roman"/>
          <w:kern w:val="0"/>
          <w14:ligatures w14:val="none"/>
        </w:rPr>
        <w:t xml:space="preserve"> </w:t>
      </w:r>
    </w:p>
    <w:p w14:paraId="10496ECE" w14:textId="77777777" w:rsidR="0099599B" w:rsidRDefault="00EB7A3F">
      <w:pPr>
        <w:spacing w:before="100" w:beforeAutospacing="1" w:after="100" w:afterAutospacing="1" w:line="360" w:lineRule="auto"/>
        <w:jc w:val="both"/>
        <w:rPr>
          <w:rFonts w:eastAsia="Times New Roman"/>
          <w:kern w:val="0"/>
          <w14:ligatures w14:val="none"/>
        </w:rPr>
      </w:pPr>
      <w:r>
        <w:rPr>
          <w:rFonts w:eastAsia="Times New Roman"/>
          <w:kern w:val="0"/>
          <w14:ligatures w14:val="none"/>
        </w:rPr>
        <w:t xml:space="preserve">The </w:t>
      </w:r>
      <w:r>
        <w:rPr>
          <w:rFonts w:eastAsia="Times New Roman"/>
          <w:kern w:val="0"/>
          <w14:ligatures w14:val="none"/>
        </w:rPr>
        <w:t>Ada East District</w:t>
      </w:r>
      <w:r>
        <w:rPr>
          <w:rFonts w:eastAsia="Times New Roman"/>
          <w:kern w:val="0"/>
          <w14:ligatures w14:val="none"/>
        </w:rPr>
        <w:t xml:space="preserve"> VA uses a hybrid lens that combines a top-down (biophysical model) view</w:t>
      </w:r>
      <w:r>
        <w:rPr>
          <w:rFonts w:eastAsia="Times New Roman"/>
          <w:kern w:val="0"/>
          <w14:ligatures w14:val="none"/>
        </w:rPr>
        <w:t xml:space="preserve"> of climate hazards with a bottom-up understanding of who is at risk and why. This keeps the analysis consistent with national NAP practice while ensuring that results are grounded in local </w:t>
      </w:r>
      <w:r>
        <w:rPr>
          <w:rFonts w:eastAsia="Times New Roman"/>
          <w:kern w:val="0"/>
          <w14:ligatures w14:val="none"/>
        </w:rPr>
        <w:t xml:space="preserve">context and socioeconomic </w:t>
      </w:r>
      <w:r>
        <w:rPr>
          <w:rFonts w:eastAsia="Times New Roman"/>
          <w:kern w:val="0"/>
          <w14:ligatures w14:val="none"/>
        </w:rPr>
        <w:t>realities.</w:t>
      </w:r>
      <w:r>
        <w:rPr>
          <w:rFonts w:eastAsia="Times New Roman"/>
          <w:kern w:val="0"/>
          <w14:ligatures w14:val="none"/>
        </w:rPr>
        <w:t xml:space="preserve"> </w:t>
      </w:r>
      <w:r>
        <w:rPr>
          <w:rFonts w:eastAsia="Times New Roman"/>
          <w:kern w:val="0"/>
          <w14:ligatures w14:val="none"/>
        </w:rPr>
        <w:t xml:space="preserve">Figure </w:t>
      </w:r>
      <w:r>
        <w:rPr>
          <w:rFonts w:eastAsia="Times New Roman"/>
          <w:kern w:val="0"/>
          <w14:ligatures w14:val="none"/>
        </w:rPr>
        <w:t>1</w:t>
      </w:r>
      <w:r>
        <w:rPr>
          <w:rFonts w:eastAsia="Times New Roman"/>
          <w:kern w:val="0"/>
          <w14:ligatures w14:val="none"/>
        </w:rPr>
        <w:t xml:space="preserve"> summarises the vulnerability assessment process</w:t>
      </w:r>
    </w:p>
    <w:p w14:paraId="6C2C8D7B" w14:textId="77777777" w:rsidR="0099599B" w:rsidRDefault="00EB7A3F">
      <w:pPr>
        <w:spacing w:after="240" w:line="240" w:lineRule="auto"/>
        <w:jc w:val="both"/>
        <w:rPr>
          <w:rFonts w:eastAsia="Times New Roman"/>
          <w:kern w:val="0"/>
          <w14:ligatures w14:val="none"/>
        </w:rPr>
      </w:pPr>
      <w:r>
        <w:rPr>
          <w:rFonts w:eastAsia="Times New Roman"/>
          <w:kern w:val="0"/>
          <w14:ligatures w14:val="none"/>
        </w:rPr>
        <w:t xml:space="preserve">   </w:t>
      </w:r>
      <w:r>
        <w:rPr>
          <w:rFonts w:eastAsia="Times New Roman"/>
          <w:noProof/>
          <w:kern w:val="0"/>
          <w14:ligatures w14:val="none"/>
        </w:rPr>
        <w:drawing>
          <wp:inline distT="0" distB="0" distL="0" distR="0" wp14:anchorId="2325E686" wp14:editId="00097ACD">
            <wp:extent cx="5951855" cy="3357880"/>
            <wp:effectExtent l="0" t="0" r="0" b="10160"/>
            <wp:docPr id="546209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09214"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951855" cy="3357880"/>
                    </a:xfrm>
                    <a:prstGeom prst="rect">
                      <a:avLst/>
                    </a:prstGeom>
                    <a:noFill/>
                  </pic:spPr>
                </pic:pic>
              </a:graphicData>
            </a:graphic>
          </wp:inline>
        </w:drawing>
      </w:r>
    </w:p>
    <w:p w14:paraId="043C8DD1" w14:textId="77777777" w:rsidR="0099599B" w:rsidRDefault="00EB7A3F">
      <w:pPr>
        <w:pStyle w:val="Caption"/>
        <w:rPr>
          <w:rFonts w:ascii="Times New Roman" w:eastAsia="SimSun" w:hAnsi="Times New Roman" w:cs="Times New Roman"/>
          <w:kern w:val="0"/>
          <w:sz w:val="24"/>
          <w14:ligatures w14:val="none"/>
        </w:rPr>
      </w:pPr>
      <w:bookmarkStart w:id="14" w:name="_Toc210017253"/>
      <w:r>
        <w:t xml:space="preserve">Figure </w:t>
      </w:r>
      <w:r>
        <w:fldChar w:fldCharType="begin"/>
      </w:r>
      <w:r>
        <w:instrText xml:space="preserve"> SEQ Figure \* ARABIC </w:instrText>
      </w:r>
      <w:r>
        <w:fldChar w:fldCharType="separate"/>
      </w:r>
      <w:r>
        <w:t>1</w:t>
      </w:r>
      <w:r>
        <w:fldChar w:fldCharType="end"/>
      </w:r>
      <w:bookmarkStart w:id="15" w:name="_Toc5642"/>
      <w:r>
        <w:rPr>
          <w:rFonts w:eastAsia="SimSun" w:cs="Times New Roman"/>
          <w:kern w:val="0"/>
          <w:sz w:val="24"/>
          <w14:ligatures w14:val="none"/>
        </w:rPr>
        <w:t>:</w:t>
      </w:r>
      <w:r>
        <w:rPr>
          <w:rFonts w:ascii="Times New Roman" w:eastAsia="SimSun" w:hAnsi="Times New Roman" w:cs="Times New Roman"/>
          <w:kern w:val="0"/>
          <w:sz w:val="24"/>
          <w14:ligatures w14:val="none"/>
        </w:rPr>
        <w:t xml:space="preserve"> The Vulnerability Assessment </w:t>
      </w:r>
      <w:r>
        <w:rPr>
          <w:rFonts w:eastAsia="SimSun" w:cs="Times New Roman"/>
          <w:kern w:val="0"/>
          <w:sz w:val="24"/>
          <w14:ligatures w14:val="none"/>
        </w:rPr>
        <w:t>P</w:t>
      </w:r>
      <w:r>
        <w:rPr>
          <w:rFonts w:ascii="Times New Roman" w:eastAsia="SimSun" w:hAnsi="Times New Roman" w:cs="Times New Roman"/>
          <w:kern w:val="0"/>
          <w:sz w:val="24"/>
          <w14:ligatures w14:val="none"/>
        </w:rPr>
        <w:t>rocess</w:t>
      </w:r>
      <w:bookmarkEnd w:id="14"/>
      <w:bookmarkEnd w:id="15"/>
    </w:p>
    <w:p w14:paraId="22192E38" w14:textId="77777777" w:rsidR="0099599B" w:rsidRDefault="0099599B">
      <w:pPr>
        <w:spacing w:after="240" w:line="240" w:lineRule="auto"/>
        <w:jc w:val="both"/>
        <w:rPr>
          <w:rFonts w:eastAsia="Calibri"/>
          <w:b/>
          <w:bCs/>
          <w:kern w:val="0"/>
          <w14:ligatures w14:val="none"/>
        </w:rPr>
      </w:pPr>
    </w:p>
    <w:p w14:paraId="3B0EE306" w14:textId="77777777" w:rsidR="0099599B" w:rsidRDefault="00EB7A3F">
      <w:pPr>
        <w:spacing w:after="240" w:line="240" w:lineRule="auto"/>
        <w:jc w:val="both"/>
        <w:rPr>
          <w:rFonts w:eastAsia="Calibri"/>
          <w:b/>
          <w:bCs/>
          <w:kern w:val="0"/>
          <w14:ligatures w14:val="none"/>
        </w:rPr>
      </w:pPr>
      <w:r>
        <w:rPr>
          <w:rFonts w:eastAsia="Calibri"/>
          <w:b/>
          <w:bCs/>
          <w:kern w:val="0"/>
          <w14:ligatures w14:val="none"/>
        </w:rPr>
        <w:t>Data Collection</w:t>
      </w:r>
    </w:p>
    <w:p w14:paraId="45283E5D" w14:textId="77777777" w:rsidR="0099599B" w:rsidRDefault="00EB7A3F">
      <w:pPr>
        <w:spacing w:after="240" w:line="360" w:lineRule="auto"/>
        <w:jc w:val="both"/>
        <w:rPr>
          <w:rFonts w:eastAsia="Calibri"/>
          <w:kern w:val="0"/>
          <w14:ligatures w14:val="none"/>
        </w:rPr>
      </w:pPr>
      <w:r>
        <w:rPr>
          <w:rFonts w:eastAsia="Calibri"/>
          <w:kern w:val="0"/>
          <w14:ligatures w14:val="none"/>
        </w:rPr>
        <w:t xml:space="preserve">The VA combined both qualitative and quantitative approaches. Qualitative assessment draws on local knowledge from communities and stakeholders, as well as statistical and geospatial data, to build a comprehensive picture of how climate change is currently affecting different sectors and social groups. It captures insights, perceptions, and experiences of community members and stakeholders that cannot be fully reflected through numbers alone. </w:t>
      </w:r>
    </w:p>
    <w:p w14:paraId="33ED3FD1" w14:textId="77777777" w:rsidR="0099599B" w:rsidRDefault="00EB7A3F">
      <w:pPr>
        <w:spacing w:after="240" w:line="360" w:lineRule="auto"/>
        <w:jc w:val="both"/>
        <w:rPr>
          <w:rFonts w:eastAsia="Calibri"/>
          <w:kern w:val="0"/>
          <w14:ligatures w14:val="none"/>
        </w:rPr>
      </w:pPr>
      <w:r>
        <w:rPr>
          <w:rFonts w:eastAsia="Calibri"/>
          <w:kern w:val="0"/>
          <w14:ligatures w14:val="none"/>
        </w:rPr>
        <w:t xml:space="preserve">Complementary, quantitative assessment introduces a numerical framework that allows for the pragmatic comparison of vulnerability levels across different geographic areas, population groups, </w:t>
      </w:r>
      <w:r>
        <w:rPr>
          <w:rFonts w:eastAsia="Calibri"/>
          <w:kern w:val="0"/>
          <w14:ligatures w14:val="none"/>
        </w:rPr>
        <w:lastRenderedPageBreak/>
        <w:t>or components of the human environment within and across communities. It relies on the understanding of the vulnerability components (exposure, sensitivity, adaptive capacity) during the qualitative assessment to derive indicators which questionnaires are used to get a real field data to measure, analyse and compare vulnerabilities.</w:t>
      </w:r>
    </w:p>
    <w:p w14:paraId="2FB5FA16" w14:textId="77777777" w:rsidR="0099599B" w:rsidRDefault="00EB7A3F">
      <w:pPr>
        <w:spacing w:after="240" w:line="360" w:lineRule="auto"/>
        <w:jc w:val="both"/>
        <w:rPr>
          <w:rFonts w:eastAsia="Calibri"/>
          <w:kern w:val="0"/>
          <w14:ligatures w14:val="none"/>
        </w:rPr>
      </w:pPr>
      <w:r>
        <w:rPr>
          <w:rFonts w:eastAsia="Calibri"/>
          <w:kern w:val="0"/>
          <w14:ligatures w14:val="none"/>
        </w:rPr>
        <w:t>Data for qualitative was collected through:</w:t>
      </w:r>
    </w:p>
    <w:p w14:paraId="7347EA91" w14:textId="77777777" w:rsidR="0099599B" w:rsidRDefault="00EB7A3F">
      <w:pPr>
        <w:widowControl w:val="0"/>
        <w:numPr>
          <w:ilvl w:val="0"/>
          <w:numId w:val="5"/>
        </w:numPr>
        <w:spacing w:after="240" w:line="360" w:lineRule="auto"/>
        <w:jc w:val="both"/>
        <w:rPr>
          <w:rFonts w:eastAsia="Garamond"/>
          <w:color w:val="000000"/>
          <w:kern w:val="0"/>
          <w:lang w:eastAsia="zh-CN" w:bidi="ar"/>
          <w14:ligatures w14:val="none"/>
        </w:rPr>
      </w:pPr>
      <w:bookmarkStart w:id="16" w:name="_Hlk113397612"/>
      <w:r>
        <w:rPr>
          <w:rFonts w:eastAsia="Garamond"/>
          <w:b/>
          <w:bCs/>
          <w:color w:val="000000"/>
          <w:kern w:val="0"/>
          <w:lang w:eastAsia="zh-CN" w:bidi="ar"/>
          <w14:ligatures w14:val="none"/>
        </w:rPr>
        <w:t>Desktop review</w:t>
      </w:r>
      <w:bookmarkEnd w:id="16"/>
      <w:r>
        <w:rPr>
          <w:rFonts w:eastAsia="Garamond"/>
          <w:b/>
          <w:bCs/>
          <w:color w:val="000000"/>
          <w:kern w:val="0"/>
          <w:lang w:eastAsia="zh-CN" w:bidi="ar"/>
          <w14:ligatures w14:val="none"/>
        </w:rPr>
        <w:t>:</w:t>
      </w:r>
      <w:r>
        <w:rPr>
          <w:rFonts w:eastAsia="Garamond"/>
          <w:color w:val="000000"/>
          <w:kern w:val="0"/>
          <w:lang w:eastAsia="zh-CN" w:bidi="ar"/>
          <w14:ligatures w14:val="none"/>
        </w:rPr>
        <w:t xml:space="preserve"> The review aimed to understand what information existed and where there were gaps. The initial desk review provided a good stocktake of climate and vulnerability data in the </w:t>
      </w:r>
      <w:r>
        <w:rPr>
          <w:rFonts w:eastAsia="Garamond"/>
          <w:color w:val="000000"/>
          <w:kern w:val="0"/>
          <w:lang w:eastAsia="zh-CN" w:bidi="ar"/>
          <w14:ligatures w14:val="none"/>
        </w:rPr>
        <w:t>Ada East District Assembly</w:t>
      </w:r>
      <w:r>
        <w:rPr>
          <w:rFonts w:eastAsia="Garamond"/>
          <w:color w:val="000000"/>
          <w:kern w:val="0"/>
          <w:lang w:eastAsia="zh-CN" w:bidi="ar"/>
          <w14:ligatures w14:val="none"/>
        </w:rPr>
        <w:t>.</w:t>
      </w:r>
      <w:r>
        <w:rPr>
          <w:rFonts w:eastAsia="Garamond"/>
          <w:color w:val="000000"/>
          <w:kern w:val="0"/>
          <w:lang w:eastAsia="zh-CN" w:bidi="ar"/>
          <w14:ligatures w14:val="none"/>
        </w:rPr>
        <w:t xml:space="preserve"> The outcome of the desk review was used to engage and obtain more information through the stakeholder consultation processes.</w:t>
      </w:r>
    </w:p>
    <w:p w14:paraId="28FEAEF1" w14:textId="77777777" w:rsidR="0099599B" w:rsidRDefault="00EB7A3F">
      <w:pPr>
        <w:widowControl w:val="0"/>
        <w:numPr>
          <w:ilvl w:val="0"/>
          <w:numId w:val="5"/>
        </w:numPr>
        <w:spacing w:after="240" w:line="360" w:lineRule="auto"/>
        <w:jc w:val="both"/>
        <w:rPr>
          <w:rFonts w:eastAsia="Garamond"/>
          <w:kern w:val="0"/>
          <w:lang w:eastAsia="zh-CN" w:bidi="ar"/>
          <w14:ligatures w14:val="none"/>
        </w:rPr>
      </w:pPr>
      <w:r>
        <w:rPr>
          <w:rFonts w:eastAsia="Garamond"/>
          <w:b/>
          <w:bCs/>
          <w:kern w:val="0"/>
          <w:lang w:eastAsia="zh-CN" w:bidi="ar"/>
          <w14:ligatures w14:val="none"/>
        </w:rPr>
        <w:t xml:space="preserve">Stakeholders and experts’ consultation: </w:t>
      </w:r>
      <w:r>
        <w:rPr>
          <w:rFonts w:eastAsia="Garamond"/>
          <w:kern w:val="0"/>
          <w:lang w:eastAsia="zh-CN" w:bidi="ar"/>
          <w14:ligatures w14:val="none"/>
        </w:rPr>
        <w:t>When relevant, experts at the national, regional, district, and local levels were consulted to collect data and input, and to verify information.</w:t>
      </w:r>
    </w:p>
    <w:p w14:paraId="4D8A2D8A" w14:textId="77777777" w:rsidR="0099599B" w:rsidRDefault="00EB7A3F">
      <w:pPr>
        <w:widowControl w:val="0"/>
        <w:numPr>
          <w:ilvl w:val="0"/>
          <w:numId w:val="5"/>
        </w:numPr>
        <w:spacing w:after="240" w:line="360" w:lineRule="auto"/>
        <w:jc w:val="both"/>
        <w:rPr>
          <w:rFonts w:eastAsia="SimSun"/>
          <w:lang w:eastAsia="zh-CN"/>
          <w14:ligatures w14:val="none"/>
        </w:rPr>
      </w:pPr>
      <w:r>
        <w:rPr>
          <w:rFonts w:eastAsia="Garamond"/>
          <w:b/>
          <w:bCs/>
          <w:color w:val="000000"/>
          <w:kern w:val="0"/>
          <w:lang w:eastAsia="zh-CN" w:bidi="ar"/>
          <w14:ligatures w14:val="none"/>
        </w:rPr>
        <w:t>Stakeholder engagement workshop:</w:t>
      </w:r>
      <w:r>
        <w:rPr>
          <w:rFonts w:eastAsia="Garamond"/>
          <w:color w:val="000000"/>
          <w:kern w:val="0"/>
          <w:lang w:eastAsia="zh-CN" w:bidi="ar"/>
          <w14:ligatures w14:val="none"/>
        </w:rPr>
        <w:t xml:space="preserve"> The stakeholder workshop was used to both collect data on prevailing climate change, impacts, and vulnerabilities, while the validation workshop was used to validate the final vulnerability assessment report. </w:t>
      </w:r>
    </w:p>
    <w:p w14:paraId="4901E6BE" w14:textId="77777777" w:rsidR="0099599B" w:rsidRDefault="00EB7A3F">
      <w:pPr>
        <w:widowControl w:val="0"/>
        <w:numPr>
          <w:ilvl w:val="0"/>
          <w:numId w:val="5"/>
        </w:numPr>
        <w:spacing w:after="240" w:line="360" w:lineRule="auto"/>
        <w:jc w:val="both"/>
        <w:rPr>
          <w:rFonts w:eastAsia="SimSun"/>
          <w:lang w:eastAsia="zh-CN"/>
          <w14:ligatures w14:val="none"/>
        </w:rPr>
      </w:pPr>
      <w:r>
        <w:rPr>
          <w:rFonts w:eastAsia="SimSun"/>
          <w:lang w:eastAsia="zh-CN"/>
          <w14:ligatures w14:val="none"/>
        </w:rPr>
        <w:t xml:space="preserve">Various activities were carried out to collect data for qualitative assessment of vulnerabilities. Data collection tools include </w:t>
      </w:r>
      <w:r>
        <w:rPr>
          <w:rFonts w:eastAsia="SimSun"/>
          <w:b/>
          <w:bCs/>
          <w:lang w:eastAsia="zh-CN"/>
          <w14:ligatures w14:val="none"/>
        </w:rPr>
        <w:t>seasonal calendar</w:t>
      </w:r>
      <w:r>
        <w:rPr>
          <w:rFonts w:eastAsia="SimSun"/>
          <w:lang w:eastAsia="zh-CN"/>
          <w14:ligatures w14:val="none"/>
        </w:rPr>
        <w:t xml:space="preserve"> (focused on the primary everyday activities of the district and how they are impacted by current climate variaions and change), </w:t>
      </w:r>
      <w:r>
        <w:rPr>
          <w:rFonts w:eastAsia="SimSun"/>
          <w:b/>
          <w:bCs/>
          <w:lang w:eastAsia="zh-CN"/>
          <w14:ligatures w14:val="none"/>
        </w:rPr>
        <w:t>extreme events stocktake</w:t>
      </w:r>
      <w:r>
        <w:rPr>
          <w:rFonts w:eastAsia="SimSun"/>
          <w:lang w:eastAsia="zh-CN"/>
          <w14:ligatures w14:val="none"/>
        </w:rPr>
        <w:t xml:space="preserve"> (capturing climate related events such as floods, droughts, forest fires, etc) , </w:t>
      </w:r>
      <w:r>
        <w:rPr>
          <w:rFonts w:eastAsia="SimSun"/>
          <w:b/>
          <w:bCs/>
          <w:lang w:eastAsia="zh-CN"/>
          <w14:ligatures w14:val="none"/>
        </w:rPr>
        <w:t>matrix of function</w:t>
      </w:r>
      <w:r>
        <w:rPr>
          <w:rFonts w:eastAsia="SimSun"/>
          <w:lang w:eastAsia="zh-CN"/>
          <w14:ligatures w14:val="none"/>
        </w:rPr>
        <w:t xml:space="preserve"> (assessing the availability of basic amenities that are needed for daily functioning of the community), </w:t>
      </w:r>
      <w:r>
        <w:rPr>
          <w:rFonts w:eastAsia="SimSun"/>
          <w:b/>
          <w:bCs/>
          <w:lang w:eastAsia="zh-CN"/>
          <w14:ligatures w14:val="none"/>
        </w:rPr>
        <w:t xml:space="preserve">participatory risk mapping </w:t>
      </w:r>
      <w:r>
        <w:rPr>
          <w:rFonts w:eastAsia="SimSun"/>
          <w:lang w:eastAsia="zh-CN"/>
          <w14:ligatures w14:val="none"/>
        </w:rPr>
        <w:t xml:space="preserve">(identifying and mapping hotspots, people and assets), </w:t>
      </w:r>
      <w:r>
        <w:rPr>
          <w:rFonts w:eastAsia="SimSun"/>
          <w:b/>
          <w:bCs/>
          <w:lang w:eastAsia="zh-CN"/>
          <w14:ligatures w14:val="none"/>
        </w:rPr>
        <w:t xml:space="preserve">sector vulnerability mapping </w:t>
      </w:r>
      <w:r>
        <w:rPr>
          <w:rFonts w:eastAsia="SimSun"/>
          <w:lang w:eastAsia="zh-CN"/>
          <w14:ligatures w14:val="none"/>
        </w:rPr>
        <w:t>(prioritising impacts on s</w:t>
      </w:r>
      <w:r>
        <w:rPr>
          <w:rFonts w:eastAsia="SimSun"/>
          <w:lang w:eastAsia="zh-CN"/>
          <w14:ligatures w14:val="none"/>
        </w:rPr>
        <w:t>ectors)</w:t>
      </w:r>
    </w:p>
    <w:p w14:paraId="68FDD82B" w14:textId="77777777" w:rsidR="0099599B" w:rsidRDefault="00EB7A3F">
      <w:pPr>
        <w:widowControl w:val="0"/>
        <w:tabs>
          <w:tab w:val="left" w:pos="425"/>
        </w:tabs>
        <w:spacing w:after="240" w:line="360" w:lineRule="auto"/>
        <w:ind w:left="425"/>
        <w:jc w:val="both"/>
        <w:rPr>
          <w:rFonts w:eastAsia="SimSun"/>
          <w:lang w:eastAsia="zh-CN"/>
          <w14:ligatures w14:val="none"/>
        </w:rPr>
      </w:pPr>
      <w:r>
        <w:rPr>
          <w:rFonts w:eastAsia="Garamond"/>
          <w:color w:val="000000"/>
          <w:kern w:val="0"/>
          <w:lang w:eastAsia="zh-CN" w:bidi="ar"/>
          <w14:ligatures w14:val="none"/>
        </w:rPr>
        <w:t xml:space="preserve">The locations constituted four zonal councils in the districts; while the sectors were agriculture (crop, fishery and livestock), forests (biodiversity and ecosystems), water, health and sanitation, infrastructure and transportation, services, and trade and finance (Commence). </w:t>
      </w:r>
      <w:r>
        <w:rPr>
          <w:rFonts w:eastAsia="Garamond"/>
          <w:b/>
          <w:bCs/>
          <w:color w:val="000000"/>
          <w:kern w:val="0"/>
          <w:lang w:eastAsia="zh-CN" w:bidi="ar"/>
          <w14:ligatures w14:val="none"/>
        </w:rPr>
        <w:t xml:space="preserve"> </w:t>
      </w:r>
    </w:p>
    <w:p w14:paraId="6D5ADEF5" w14:textId="77777777" w:rsidR="0099599B" w:rsidRDefault="00EB7A3F">
      <w:pPr>
        <w:widowControl w:val="0"/>
        <w:tabs>
          <w:tab w:val="left" w:pos="425"/>
        </w:tabs>
        <w:spacing w:after="240" w:line="360" w:lineRule="auto"/>
        <w:jc w:val="both"/>
        <w:rPr>
          <w:rFonts w:eastAsia="SimSun"/>
          <w:lang w:eastAsia="zh-CN"/>
          <w14:ligatures w14:val="none"/>
        </w:rPr>
      </w:pPr>
      <w:bookmarkStart w:id="17" w:name="_Hlk215208242"/>
      <w:r>
        <w:rPr>
          <w:rFonts w:eastAsia="SimSun"/>
          <w:lang w:eastAsia="zh-CN"/>
          <w14:ligatures w14:val="none"/>
        </w:rPr>
        <w:t>Data for quantitative was collected through:</w:t>
      </w:r>
    </w:p>
    <w:bookmarkEnd w:id="17"/>
    <w:p w14:paraId="52284813" w14:textId="77777777" w:rsidR="0099599B" w:rsidRDefault="00EB7A3F">
      <w:pPr>
        <w:widowControl w:val="0"/>
        <w:numPr>
          <w:ilvl w:val="0"/>
          <w:numId w:val="6"/>
        </w:numPr>
        <w:tabs>
          <w:tab w:val="left" w:pos="425"/>
        </w:tabs>
        <w:spacing w:after="240" w:line="360" w:lineRule="auto"/>
        <w:contextualSpacing/>
        <w:jc w:val="both"/>
        <w:rPr>
          <w:rFonts w:eastAsia="DengXian Light"/>
          <w:b/>
          <w:bCs/>
          <w:color w:val="0070C0"/>
          <w:lang w:eastAsia="zh-CN"/>
        </w:rPr>
      </w:pPr>
      <w:r>
        <w:rPr>
          <w:rFonts w:eastAsia="Garamond"/>
          <w:b/>
          <w:bCs/>
          <w:color w:val="000000"/>
          <w:kern w:val="0"/>
          <w:lang w:eastAsia="zh-CN" w:bidi="ar"/>
          <w14:ligatures w14:val="none"/>
        </w:rPr>
        <w:t>Community-based survey:</w:t>
      </w:r>
      <w:r>
        <w:rPr>
          <w:rFonts w:eastAsia="Garamond"/>
          <w:color w:val="000000"/>
          <w:kern w:val="0"/>
          <w:lang w:eastAsia="zh-CN" w:bidi="ar"/>
          <w14:ligatures w14:val="none"/>
        </w:rPr>
        <w:t xml:space="preserve"> </w:t>
      </w:r>
      <w:r>
        <w:rPr>
          <w:rFonts w:eastAsia="Garamond"/>
          <w:color w:val="000000"/>
          <w:kern w:val="0"/>
          <w:lang w:eastAsia="zh-CN" w:bidi="ar"/>
          <w14:ligatures w14:val="none"/>
        </w:rPr>
        <w:t xml:space="preserve">Digital questionnaires were derived based on the variable for </w:t>
      </w:r>
      <w:r>
        <w:rPr>
          <w:rFonts w:eastAsia="Garamond"/>
          <w:color w:val="000000"/>
          <w:kern w:val="0"/>
          <w:lang w:eastAsia="zh-CN" w:bidi="ar"/>
          <w14:ligatures w14:val="none"/>
        </w:rPr>
        <w:t xml:space="preserve">each indicator and administered to a predetermined sample size number of households </w:t>
      </w:r>
      <w:r>
        <w:rPr>
          <w:rFonts w:eastAsia="Garamond"/>
          <w:color w:val="000000"/>
          <w:kern w:val="0"/>
          <w:lang w:eastAsia="zh-CN" w:bidi="ar"/>
          <w14:ligatures w14:val="none"/>
        </w:rPr>
        <w:t xml:space="preserve">in </w:t>
      </w:r>
      <w:r>
        <w:rPr>
          <w:rFonts w:eastAsia="Garamond"/>
          <w:color w:val="000000"/>
          <w:kern w:val="0"/>
          <w:lang w:eastAsia="zh-CN" w:bidi="ar"/>
          <w14:ligatures w14:val="none"/>
        </w:rPr>
        <w:lastRenderedPageBreak/>
        <w:t xml:space="preserve">each of the </w:t>
      </w:r>
      <w:r>
        <w:rPr>
          <w:rFonts w:eastAsia="Garamond"/>
          <w:color w:val="000000"/>
          <w:kern w:val="0"/>
          <w:lang w:eastAsia="zh-CN" w:bidi="ar"/>
          <w14:ligatures w14:val="none"/>
        </w:rPr>
        <w:t xml:space="preserve">12 </w:t>
      </w:r>
      <w:r>
        <w:rPr>
          <w:rFonts w:eastAsia="Garamond"/>
          <w:color w:val="000000"/>
          <w:kern w:val="0"/>
          <w:lang w:eastAsia="zh-CN" w:bidi="ar"/>
          <w14:ligatures w14:val="none"/>
        </w:rPr>
        <w:t xml:space="preserve">vulnerable communities. In total, </w:t>
      </w:r>
      <w:r>
        <w:rPr>
          <w:rFonts w:eastAsia="Garamond"/>
          <w:color w:val="000000"/>
          <w:kern w:val="0"/>
          <w:lang w:eastAsia="zh-CN" w:bidi="ar"/>
          <w14:ligatures w14:val="none"/>
        </w:rPr>
        <w:t xml:space="preserve">420 </w:t>
      </w:r>
      <w:r>
        <w:rPr>
          <w:rFonts w:eastAsia="Garamond"/>
          <w:color w:val="000000"/>
          <w:kern w:val="0"/>
          <w:lang w:eastAsia="zh-CN" w:bidi="ar"/>
          <w14:ligatures w14:val="none"/>
        </w:rPr>
        <w:t xml:space="preserve">households were interviewed. Enumerators (primarily staff from the </w:t>
      </w:r>
      <w:r>
        <w:rPr>
          <w:rFonts w:eastAsia="Garamond"/>
          <w:color w:val="000000"/>
          <w:kern w:val="0"/>
          <w:lang w:eastAsia="zh-CN" w:bidi="ar"/>
          <w14:ligatures w14:val="none"/>
        </w:rPr>
        <w:t xml:space="preserve">Ada East District </w:t>
      </w:r>
      <w:r>
        <w:rPr>
          <w:rFonts w:eastAsia="Garamond"/>
          <w:color w:val="000000"/>
          <w:kern w:val="0"/>
          <w:lang w:eastAsia="zh-CN" w:bidi="ar"/>
          <w14:ligatures w14:val="none"/>
        </w:rPr>
        <w:t>Assembly) were trained to visit the communities and interview households for the information needed. Data from the community-based survey is used to conduct the quantitative LVI-IPCC assessment for the district and sectors.</w:t>
      </w:r>
      <w:bookmarkStart w:id="18" w:name="_bookmark103"/>
      <w:bookmarkEnd w:id="18"/>
    </w:p>
    <w:p w14:paraId="6E61F078" w14:textId="77777777" w:rsidR="0099599B" w:rsidRDefault="0099599B">
      <w:pPr>
        <w:widowControl w:val="0"/>
        <w:tabs>
          <w:tab w:val="left" w:pos="425"/>
        </w:tabs>
        <w:spacing w:after="240" w:line="360" w:lineRule="auto"/>
        <w:contextualSpacing/>
        <w:jc w:val="both"/>
        <w:rPr>
          <w:rFonts w:eastAsia="DengXian Light"/>
          <w:b/>
          <w:bCs/>
          <w:color w:val="0070C0"/>
          <w:lang w:eastAsia="zh-CN"/>
        </w:rPr>
      </w:pPr>
    </w:p>
    <w:p w14:paraId="3E531731" w14:textId="77777777" w:rsidR="0099599B" w:rsidRDefault="00EB7A3F">
      <w:pPr>
        <w:spacing w:before="100" w:beforeAutospacing="1" w:after="100" w:afterAutospacing="1" w:line="360" w:lineRule="auto"/>
        <w:jc w:val="both"/>
        <w:rPr>
          <w:rFonts w:eastAsia="Times New Roman"/>
          <w:b/>
          <w:bCs/>
          <w:kern w:val="0"/>
          <w14:ligatures w14:val="none"/>
        </w:rPr>
      </w:pPr>
      <w:r>
        <w:rPr>
          <w:rFonts w:eastAsia="Times New Roman"/>
          <w:b/>
          <w:bCs/>
          <w:kern w:val="0"/>
          <w14:ligatures w14:val="none"/>
        </w:rPr>
        <w:t>Assessing Current and Future Climate Analysis</w:t>
      </w:r>
    </w:p>
    <w:p w14:paraId="14AD8659" w14:textId="77777777" w:rsidR="0099599B" w:rsidRDefault="00EB7A3F">
      <w:pPr>
        <w:spacing w:before="100" w:beforeAutospacing="1" w:after="100" w:afterAutospacing="1" w:line="360" w:lineRule="auto"/>
        <w:jc w:val="both"/>
        <w:rPr>
          <w:rFonts w:eastAsia="Times New Roman"/>
          <w:kern w:val="0"/>
          <w14:ligatures w14:val="none"/>
        </w:rPr>
      </w:pPr>
      <w:r>
        <w:rPr>
          <w:rFonts w:eastAsia="Times New Roman"/>
          <w:kern w:val="0"/>
          <w14:ligatures w14:val="none"/>
        </w:rPr>
        <w:t>Current climate. Daily rainfall from CHIRPS and air temperature/relative humidity from ERA5 are clipped to the</w:t>
      </w:r>
      <w:r>
        <w:rPr>
          <w:rFonts w:eastAsia="Times New Roman"/>
          <w:kern w:val="0"/>
          <w14:ligatures w14:val="none"/>
        </w:rPr>
        <w:t xml:space="preserve"> </w:t>
      </w:r>
      <w:r>
        <w:rPr>
          <w:rFonts w:eastAsia="Times New Roman"/>
          <w:kern w:val="0"/>
          <w14:ligatures w14:val="none"/>
        </w:rPr>
        <w:t>Ada East district</w:t>
      </w:r>
      <w:r>
        <w:rPr>
          <w:rFonts w:eastAsia="Times New Roman"/>
          <w:kern w:val="0"/>
          <w14:ligatures w14:val="none"/>
        </w:rPr>
        <w:t xml:space="preserve"> boundary</w:t>
      </w:r>
      <w:r>
        <w:rPr>
          <w:rFonts w:eastAsia="Times New Roman"/>
          <w:kern w:val="0"/>
          <w14:ligatures w14:val="none"/>
        </w:rPr>
        <w:t xml:space="preserve">. Using the 1991–2020 baseline, standard indices are derived heavy-rain days (R10/R20), 1-day and 5-day maxima (Rx1/Rx5), wet/dry-spell length (CWD/CDD), rain-day intensity (SDII), hot/cool days and nights (TX90p/TX10p; TN90p/TN10p), and diurnal temperature range. Monthly climatologies are produced to reflect </w:t>
      </w:r>
      <w:r>
        <w:rPr>
          <w:rFonts w:eastAsia="Times New Roman"/>
          <w:kern w:val="0"/>
          <w14:ligatures w14:val="none"/>
        </w:rPr>
        <w:t xml:space="preserve">Ada East’s </w:t>
      </w:r>
      <w:r>
        <w:rPr>
          <w:rFonts w:eastAsia="Times New Roman"/>
          <w:kern w:val="0"/>
          <w14:ligatures w14:val="none"/>
        </w:rPr>
        <w:t>bimodal rainfall regime.</w:t>
      </w:r>
    </w:p>
    <w:p w14:paraId="6007CC1D" w14:textId="77777777" w:rsidR="0099599B" w:rsidRDefault="00EB7A3F">
      <w:pPr>
        <w:spacing w:before="100" w:beforeAutospacing="1" w:after="100" w:afterAutospacing="1" w:line="360" w:lineRule="auto"/>
        <w:jc w:val="both"/>
        <w:rPr>
          <w:rFonts w:eastAsia="Times New Roman"/>
          <w:kern w:val="0"/>
          <w14:ligatures w14:val="none"/>
        </w:rPr>
      </w:pPr>
      <w:r>
        <w:rPr>
          <w:rFonts w:eastAsia="Times New Roman"/>
          <w:kern w:val="0"/>
          <w14:ligatures w14:val="none"/>
        </w:rPr>
        <w:t xml:space="preserve">Future climate. Projections draw on a CMIP6 multi-model ensemble under SSP2-4.5 and SSP5-8.5, summarised for 2026–2050, 2051–2075, and 2076–2100. Each model is spatially averaged over the </w:t>
      </w:r>
      <w:r>
        <w:rPr>
          <w:rFonts w:eastAsia="Times New Roman"/>
          <w:kern w:val="0"/>
          <w14:ligatures w14:val="none"/>
        </w:rPr>
        <w:t>district</w:t>
      </w:r>
      <w:r>
        <w:rPr>
          <w:rFonts w:eastAsia="Times New Roman"/>
          <w:kern w:val="0"/>
          <w14:ligatures w14:val="none"/>
        </w:rPr>
        <w:t>; results are reported as ensemble means with spread. Emphasis is on changes in heavy-rain intensity (flood risk) and hot days/nights (heat-health), with a qualitative sea-level-rise context for coastal cells.</w:t>
      </w:r>
    </w:p>
    <w:p w14:paraId="262E4ED3" w14:textId="77777777" w:rsidR="0099599B" w:rsidRDefault="00EB7A3F">
      <w:pPr>
        <w:spacing w:line="360" w:lineRule="auto"/>
      </w:pPr>
      <w:r>
        <w:br w:type="page"/>
      </w:r>
    </w:p>
    <w:p w14:paraId="5992C9C5" w14:textId="77777777" w:rsidR="0099599B" w:rsidRDefault="00EB7A3F">
      <w:pPr>
        <w:pStyle w:val="Heading1"/>
        <w:spacing w:line="360" w:lineRule="auto"/>
        <w:jc w:val="both"/>
      </w:pPr>
      <w:bookmarkStart w:id="19" w:name="_Toc26213"/>
      <w:r>
        <w:lastRenderedPageBreak/>
        <w:t>CHAPTER 2 - DISTRICT PROFILE</w:t>
      </w:r>
      <w:bookmarkEnd w:id="19"/>
      <w:r>
        <w:tab/>
      </w:r>
    </w:p>
    <w:p w14:paraId="6F537197" w14:textId="77777777" w:rsidR="0099599B" w:rsidRDefault="00EB7A3F">
      <w:pPr>
        <w:spacing w:line="360" w:lineRule="auto"/>
        <w:jc w:val="both"/>
      </w:pPr>
      <w:r>
        <w:t>This chapter outlines the background of Ada East District to provide context for its climate vulnerability. It highlights the district’s demographic characteristics, geographical and environmental features, including its coastal attributes, administration and governance and economic overview, as these combined factors shape the district’s exposure, sensitivity and adaptive capacity to current and future climate risks of Ada East district.</w:t>
      </w:r>
    </w:p>
    <w:p w14:paraId="6F39A4B0" w14:textId="77777777" w:rsidR="0099599B" w:rsidRDefault="00EB7A3F">
      <w:pPr>
        <w:pStyle w:val="Heading2"/>
        <w:spacing w:line="360" w:lineRule="auto"/>
      </w:pPr>
      <w:bookmarkStart w:id="20" w:name="_Toc12201"/>
      <w:r>
        <w:t>2.1 Location and size</w:t>
      </w:r>
      <w:bookmarkEnd w:id="20"/>
      <w:r>
        <w:tab/>
      </w:r>
    </w:p>
    <w:p w14:paraId="116FF771" w14:textId="77777777" w:rsidR="0099599B" w:rsidRDefault="00EB7A3F">
      <w:pPr>
        <w:spacing w:line="360" w:lineRule="auto"/>
        <w:jc w:val="both"/>
        <w:rPr>
          <w:lang w:eastAsia="en-GB"/>
        </w:rPr>
      </w:pPr>
      <w:r>
        <w:rPr>
          <w:lang w:eastAsia="en-GB"/>
        </w:rPr>
        <w:t>Ada East District is a district in Ghana's Greater Accra Region, originally part of the larger Dangme East District. It was renamed Ada East District after the western part was split off to create Ada West District in 2012. The Ada East District is situated in the southeastern part of the Greater Accra Region, covering approximately 290 km² and has Ada Foah as its capital town. The district covers an area of 289.783 square kilometre and is located within latitude 5°45 and 6°00 (North) and Longitudes 0°20 to</w:t>
      </w:r>
      <w:r>
        <w:rPr>
          <w:lang w:eastAsia="en-GB"/>
        </w:rPr>
        <w:t xml:space="preserve"> 0°35 (East).</w:t>
      </w:r>
    </w:p>
    <w:p w14:paraId="0F745523" w14:textId="77777777" w:rsidR="0099599B" w:rsidRDefault="00EB7A3F">
      <w:pPr>
        <w:spacing w:line="360" w:lineRule="auto"/>
        <w:jc w:val="both"/>
        <w:rPr>
          <w:lang w:eastAsia="en-GB"/>
        </w:rPr>
      </w:pPr>
      <w:r>
        <w:rPr>
          <w:lang w:eastAsia="en-GB"/>
        </w:rPr>
        <w:t>Ada East District is bordered by Central Tongu to the north, South Tongu to the east, Ada West to the west and the Gulf of Guinea to the south, where 19 km of coastline stretch from Kewunor to Totope (Ministry of Local Government and Rural Development, 2020). To the southeast, the Volta River flows into the Gulf of Guinea, creating an estuary near the district capital, Ada-Foah and making it a vital natural resource for fishing, transport and irrigation (Ghana Fisheries Authority, 2019). Major settlements i</w:t>
      </w:r>
      <w:r>
        <w:rPr>
          <w:lang w:eastAsia="en-GB"/>
        </w:rPr>
        <w:t>nclude Big Ada, Kasseh, Totimekope, Ocanseykope and Pute.</w:t>
      </w:r>
    </w:p>
    <w:p w14:paraId="7CF2E432" w14:textId="77777777" w:rsidR="0099599B" w:rsidRDefault="00EB7A3F">
      <w:pPr>
        <w:spacing w:line="360" w:lineRule="auto"/>
        <w:jc w:val="center"/>
      </w:pPr>
      <w:r>
        <w:rPr>
          <w:noProof/>
        </w:rPr>
        <w:lastRenderedPageBreak/>
        <w:drawing>
          <wp:inline distT="0" distB="0" distL="114300" distR="114300" wp14:anchorId="06B8AEF7" wp14:editId="761CFED0">
            <wp:extent cx="5941695" cy="4197985"/>
            <wp:effectExtent l="0" t="0" r="1905" b="8255"/>
            <wp:docPr id="15" name="Picture 15" descr="PHOTO-2025-12-02-09-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HOTO-2025-12-02-09-05-05"/>
                    <pic:cNvPicPr>
                      <a:picLocks noChangeAspect="1"/>
                    </pic:cNvPicPr>
                  </pic:nvPicPr>
                  <pic:blipFill>
                    <a:blip r:embed="rId17"/>
                    <a:stretch>
                      <a:fillRect/>
                    </a:stretch>
                  </pic:blipFill>
                  <pic:spPr>
                    <a:xfrm>
                      <a:off x="0" y="0"/>
                      <a:ext cx="5941695" cy="4197985"/>
                    </a:xfrm>
                    <a:prstGeom prst="rect">
                      <a:avLst/>
                    </a:prstGeom>
                  </pic:spPr>
                </pic:pic>
              </a:graphicData>
            </a:graphic>
          </wp:inline>
        </w:drawing>
      </w:r>
    </w:p>
    <w:p w14:paraId="0D29531E" w14:textId="77777777" w:rsidR="0099599B" w:rsidRDefault="00EB7A3F">
      <w:pPr>
        <w:pStyle w:val="Caption"/>
        <w:spacing w:line="360" w:lineRule="auto"/>
        <w:rPr>
          <w:rFonts w:cs="Times New Roman"/>
        </w:rPr>
      </w:pPr>
      <w:r>
        <w:t xml:space="preserve">Figure </w:t>
      </w:r>
      <w:r>
        <w:fldChar w:fldCharType="begin"/>
      </w:r>
      <w:r>
        <w:instrText xml:space="preserve"> SEQ Figure \* ARABIC </w:instrText>
      </w:r>
      <w:r>
        <w:fldChar w:fldCharType="separate"/>
      </w:r>
      <w:r>
        <w:t>2</w:t>
      </w:r>
      <w:r>
        <w:fldChar w:fldCharType="end"/>
      </w:r>
      <w:bookmarkStart w:id="21" w:name="_Toc15374"/>
      <w:r>
        <w:rPr>
          <w:rFonts w:cs="Times New Roman"/>
        </w:rPr>
        <w:t>: Map of Ada East District (Source: Ghana Statistical Service, GIS)</w:t>
      </w:r>
      <w:bookmarkEnd w:id="21"/>
    </w:p>
    <w:p w14:paraId="0566709B" w14:textId="77777777" w:rsidR="0099599B" w:rsidRDefault="0099599B"/>
    <w:p w14:paraId="45FAA175" w14:textId="77777777" w:rsidR="0099599B" w:rsidRDefault="00EB7A3F">
      <w:pPr>
        <w:pStyle w:val="Heading2"/>
        <w:spacing w:line="360" w:lineRule="auto"/>
      </w:pPr>
      <w:bookmarkStart w:id="22" w:name="_Toc28259"/>
      <w:r>
        <w:t>2.2 Demographic overview</w:t>
      </w:r>
      <w:bookmarkEnd w:id="22"/>
      <w:r>
        <w:tab/>
      </w:r>
    </w:p>
    <w:p w14:paraId="3B10D35B" w14:textId="77777777" w:rsidR="0099599B" w:rsidRDefault="00EB7A3F">
      <w:pPr>
        <w:spacing w:line="360" w:lineRule="auto"/>
        <w:jc w:val="both"/>
        <w:rPr>
          <w:lang w:eastAsia="en-GB"/>
        </w:rPr>
      </w:pPr>
      <w:r>
        <w:rPr>
          <w:lang w:eastAsia="en-GB"/>
        </w:rPr>
        <w:t>The district has a population of 71,671, accounting for 1.8% of the Greater Accra Region's total population according to the 2016 population and housing census (GSS, 2016.). The district has a youthful population, with over half (54%) under 15 and a high age dependency ratio, particularly among males. Ada East reports one of the highest fertility rates in the region, with 103.4 births per 1,000 women aged 15–49. Migration is also notable, as more than half of the district's migrants were born in other regio</w:t>
      </w:r>
      <w:r>
        <w:rPr>
          <w:lang w:eastAsia="en-GB"/>
        </w:rPr>
        <w:t>ns of Ghana.</w:t>
      </w:r>
    </w:p>
    <w:p w14:paraId="0F891956" w14:textId="77777777" w:rsidR="0099599B" w:rsidRDefault="00EB7A3F">
      <w:pPr>
        <w:spacing w:line="360" w:lineRule="auto"/>
        <w:jc w:val="both"/>
        <w:rPr>
          <w:lang w:eastAsia="en-GB"/>
        </w:rPr>
      </w:pPr>
      <w:r>
        <w:rPr>
          <w:noProof/>
        </w:rPr>
        <w:lastRenderedPageBreak/>
        <w:drawing>
          <wp:inline distT="0" distB="0" distL="114300" distR="114300" wp14:anchorId="51686B30" wp14:editId="2DE5015B">
            <wp:extent cx="5937885" cy="3208655"/>
            <wp:effectExtent l="4445" t="4445" r="16510" b="1778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9DB277" w14:textId="77777777" w:rsidR="0099599B" w:rsidRDefault="00EB7A3F">
      <w:pPr>
        <w:pStyle w:val="Caption"/>
        <w:spacing w:line="360" w:lineRule="auto"/>
        <w:jc w:val="both"/>
        <w:rPr>
          <w:lang w:eastAsia="en-GB"/>
        </w:rPr>
      </w:pPr>
      <w:r>
        <w:t xml:space="preserve">Figure </w:t>
      </w:r>
      <w:r>
        <w:fldChar w:fldCharType="begin"/>
      </w:r>
      <w:r>
        <w:instrText xml:space="preserve"> SEQ Figure \* ARABIC </w:instrText>
      </w:r>
      <w:r>
        <w:fldChar w:fldCharType="separate"/>
      </w:r>
      <w:r>
        <w:t>3</w:t>
      </w:r>
      <w:r>
        <w:fldChar w:fldCharType="end"/>
      </w:r>
      <w:bookmarkStart w:id="23" w:name="_Toc24614"/>
      <w:r>
        <w:rPr>
          <w:lang w:eastAsia="en-GB"/>
        </w:rPr>
        <w:t>: Age Distribution of Population In Ada East Dstrict</w:t>
      </w:r>
      <w:bookmarkEnd w:id="23"/>
    </w:p>
    <w:p w14:paraId="51D437E0" w14:textId="77777777" w:rsidR="0099599B" w:rsidRDefault="00EB7A3F">
      <w:pPr>
        <w:spacing w:line="360" w:lineRule="auto"/>
        <w:jc w:val="both"/>
        <w:rPr>
          <w:rFonts w:ascii="Arial" w:eastAsia="SimHei" w:hAnsi="Arial" w:cs="Arial"/>
          <w:i/>
          <w:iCs/>
          <w:color w:val="0000FF"/>
          <w:sz w:val="20"/>
          <w:lang w:eastAsia="en-GB"/>
        </w:rPr>
      </w:pPr>
      <w:r>
        <w:rPr>
          <w:rFonts w:ascii="Arial" w:eastAsia="SimHei" w:hAnsi="Arial" w:cs="Arial"/>
          <w:i/>
          <w:iCs/>
          <w:color w:val="0000FF"/>
          <w:sz w:val="20"/>
          <w:lang w:eastAsia="en-GB"/>
        </w:rPr>
        <w:t>Source:  Ghana Statistical Service</w:t>
      </w:r>
    </w:p>
    <w:p w14:paraId="55707280" w14:textId="77777777" w:rsidR="0099599B" w:rsidRDefault="0099599B">
      <w:pPr>
        <w:spacing w:line="360" w:lineRule="auto"/>
        <w:jc w:val="both"/>
        <w:rPr>
          <w:lang w:eastAsia="en-GB"/>
        </w:rPr>
      </w:pPr>
    </w:p>
    <w:p w14:paraId="55E58871" w14:textId="77777777" w:rsidR="0099599B" w:rsidRDefault="00EB7A3F">
      <w:pPr>
        <w:spacing w:line="360" w:lineRule="auto"/>
        <w:jc w:val="both"/>
        <w:rPr>
          <w:lang w:eastAsia="en-GB"/>
        </w:rPr>
      </w:pPr>
      <w:r>
        <w:rPr>
          <w:lang w:eastAsia="en-GB"/>
        </w:rPr>
        <w:t>In terms of household structure, the district comprises 15,631 households with an average household size of 4.6 people. Children make up the largest share of household members and nuclear families account for about 20% of all households. The district has a diverse and active population, with 75% of those aged 15 and older being economically active.</w:t>
      </w:r>
    </w:p>
    <w:p w14:paraId="61B03F20" w14:textId="77777777" w:rsidR="0099599B" w:rsidRDefault="00EB7A3F">
      <w:pPr>
        <w:spacing w:line="360" w:lineRule="auto"/>
        <w:jc w:val="both"/>
        <w:rPr>
          <w:rFonts w:eastAsia="Times New Roman"/>
          <w:lang w:eastAsia="en-GB"/>
        </w:rPr>
      </w:pPr>
      <w:r>
        <w:rPr>
          <w:lang w:eastAsia="en-GB"/>
        </w:rPr>
        <w:t>Among those employed, 20.2% work in agriculture, forestry and fishing; 39.3% are in service and sales; 23.3% are in crafts and trades; and 6.8% are professionals, managers, or technicians. The private informal sector dominates employment, accounting for 92.2%, followed by the public sector at 4.4%. Access to information and communication technology is widespread, with a majority of the population owning mobile phones, though men are more likely to own them (50.3%). The district also reports a significant po</w:t>
      </w:r>
      <w:r>
        <w:rPr>
          <w:lang w:eastAsia="en-GB"/>
        </w:rPr>
        <w:t>pulation of persons with disabilities, with women representing 4.8% of this group. Unfortunately, most disa</w:t>
      </w:r>
      <w:r>
        <w:rPr>
          <w:rFonts w:eastAsia="Times New Roman"/>
          <w:lang w:eastAsia="en-GB"/>
        </w:rPr>
        <w:t>bled individuals have never attended school and ICT ownership remains largely male dominated</w:t>
      </w:r>
    </w:p>
    <w:p w14:paraId="417293EE" w14:textId="77777777" w:rsidR="0099599B" w:rsidRDefault="0099599B">
      <w:pPr>
        <w:spacing w:line="360" w:lineRule="auto"/>
        <w:jc w:val="both"/>
        <w:rPr>
          <w:rFonts w:eastAsia="Times New Roman"/>
          <w:lang w:eastAsia="en-GB"/>
        </w:rPr>
      </w:pPr>
    </w:p>
    <w:p w14:paraId="63A1DB1D" w14:textId="77777777" w:rsidR="0099599B" w:rsidRDefault="00EB7A3F">
      <w:pPr>
        <w:pStyle w:val="Heading2"/>
        <w:spacing w:line="360" w:lineRule="auto"/>
      </w:pPr>
      <w:bookmarkStart w:id="24" w:name="_Toc12631"/>
      <w:r>
        <w:lastRenderedPageBreak/>
        <w:t>2.3 Administration and governance</w:t>
      </w:r>
      <w:bookmarkEnd w:id="24"/>
      <w:r>
        <w:tab/>
      </w:r>
    </w:p>
    <w:p w14:paraId="535FD694" w14:textId="77777777" w:rsidR="0099599B" w:rsidRDefault="00EB7A3F">
      <w:pPr>
        <w:spacing w:line="360" w:lineRule="auto"/>
        <w:jc w:val="both"/>
        <w:rPr>
          <w:lang w:eastAsia="en-GB"/>
        </w:rPr>
      </w:pPr>
      <w:r>
        <w:rPr>
          <w:lang w:eastAsia="en-GB"/>
        </w:rPr>
        <w:t>The Ada East District Assembly serves as the highest political and administrative authority within the district. It is led by a District Chief Executive (DCE), who acts as the political head and is supported administratively by the District Coordinating Director, the chief advisor to the DCE. The Assembly exercises legislative, deliberative and executive functions as mandated by the Local Government Act of 1993. Administratively, the district is organized into three area councils—Ada-Foah, Big Ada and Kasse</w:t>
      </w:r>
      <w:r>
        <w:rPr>
          <w:lang w:eastAsia="en-GB"/>
        </w:rPr>
        <w:t>h—encompassing the thirty-seven (37) electoral areas. The General Assembly, presided over by a Presiding Member elected from among the Assembly members, functions as the highest decision-making body in the district.</w:t>
      </w:r>
    </w:p>
    <w:p w14:paraId="1EB7CCF3" w14:textId="77777777" w:rsidR="0099599B" w:rsidRDefault="00EB7A3F">
      <w:pPr>
        <w:spacing w:line="360" w:lineRule="auto"/>
        <w:jc w:val="both"/>
        <w:rPr>
          <w:lang w:eastAsia="en-GB"/>
        </w:rPr>
      </w:pPr>
      <w:r>
        <w:rPr>
          <w:lang w:eastAsia="en-GB"/>
        </w:rPr>
        <w:t>The Assembly is composed of thirty-nine (39) members, including the DCE and the Member of Parliament for Ada East Constituency. Of the remaining thirty-seven (37) members, ten (10) are government appointees and twenty-seven (27) are elected representatives. Notably, only four (4) of the thirty-seven members are women, representing approximately 10% of the Assembly. Further, there are eleven (11) decentralized departments within the district, each responsible for implementing sector-specific policies and dev</w:t>
      </w:r>
      <w:r>
        <w:rPr>
          <w:lang w:eastAsia="en-GB"/>
        </w:rPr>
        <w:t>elopment programs. These departments collaborate with local stakeholders and partner institutions to advance the district's development agenda and improve the well-being of its residents.</w:t>
      </w:r>
    </w:p>
    <w:p w14:paraId="0C3E504F" w14:textId="77777777" w:rsidR="0099599B" w:rsidRDefault="0099599B">
      <w:pPr>
        <w:spacing w:line="360" w:lineRule="auto"/>
      </w:pPr>
    </w:p>
    <w:p w14:paraId="4D9BABDC" w14:textId="77777777" w:rsidR="0099599B" w:rsidRDefault="00EB7A3F">
      <w:pPr>
        <w:pStyle w:val="Heading2"/>
        <w:spacing w:line="360" w:lineRule="auto"/>
      </w:pPr>
      <w:bookmarkStart w:id="25" w:name="_Toc16126"/>
      <w:r>
        <w:t>2.4 Physical and environmental features</w:t>
      </w:r>
      <w:bookmarkEnd w:id="25"/>
      <w:r>
        <w:tab/>
      </w:r>
    </w:p>
    <w:p w14:paraId="681CE37F" w14:textId="77777777" w:rsidR="0099599B" w:rsidRDefault="00EB7A3F">
      <w:pPr>
        <w:spacing w:line="360" w:lineRule="auto"/>
        <w:jc w:val="both"/>
        <w:rPr>
          <w:lang w:eastAsia="en-GB"/>
        </w:rPr>
      </w:pPr>
      <w:r>
        <w:rPr>
          <w:lang w:eastAsia="en-GB"/>
        </w:rPr>
        <w:t>Geographically, the district’s position between the Gulf of Guinea and the Volta River provides fertile grounds for fishing and agriculture, which dominate local livelihoods. Fishing and fish processing are the mainstay industries, supported by abundant marine and riverine resources. Agricultural production, especially maize, cassava and plantain, also contributes to the local economy. However, the proximity to the coast exposes infrastructure to corrosion from salty sea air, resulting in frequent maintenan</w:t>
      </w:r>
      <w:r>
        <w:rPr>
          <w:lang w:eastAsia="en-GB"/>
        </w:rPr>
        <w:t>ce challenges.</w:t>
      </w:r>
    </w:p>
    <w:p w14:paraId="37507167" w14:textId="77777777" w:rsidR="0099599B" w:rsidRDefault="00EB7A3F">
      <w:pPr>
        <w:spacing w:line="360" w:lineRule="auto"/>
        <w:jc w:val="both"/>
        <w:rPr>
          <w:lang w:eastAsia="en-GB"/>
        </w:rPr>
      </w:pPr>
      <w:r>
        <w:rPr>
          <w:lang w:eastAsia="en-GB"/>
        </w:rPr>
        <w:t xml:space="preserve">Vegetation in the district is diverse, comprising coastal savanna, mangrove forests and coconut groves. The savanna provides extensive grazing for over 5,000 cattle herds, though unmanaged grazing near water bodies often contaminates streams, limiting safe water availability. To mitigate </w:t>
      </w:r>
      <w:r>
        <w:rPr>
          <w:lang w:eastAsia="en-GB"/>
        </w:rPr>
        <w:lastRenderedPageBreak/>
        <w:t>this, the 3-District Water Supply Scheme has improved potable water access for several communities. Mangroves, especially along tributaries of the Volta River, stabilize ecosystems but are less extensive than other vegetation types. Coconut trees enhance coastal scenery while salt pans benefit from the high evaporation rates that support the local salt industry.</w:t>
      </w:r>
    </w:p>
    <w:p w14:paraId="241B5655" w14:textId="77777777" w:rsidR="0099599B" w:rsidRDefault="00EB7A3F">
      <w:pPr>
        <w:spacing w:line="360" w:lineRule="auto"/>
        <w:jc w:val="both"/>
        <w:rPr>
          <w:lang w:eastAsia="en-GB"/>
        </w:rPr>
      </w:pPr>
      <w:r>
        <w:rPr>
          <w:lang w:eastAsia="en-GB"/>
        </w:rPr>
        <w:t>Climatically, Ada East experiences average annual temperatures of 23–28°C, with peaks of 33°C during heatwaves. Rainfall is seasonal, with heavy rains between March and September averaging 750 mm, while the harmattan season (November to March) brings long dry spells. Relative humidity averages 60% and daily evaporation ranges from 5.4 to 6.8 mm. These variations affect agriculture and water supply, making them vulnerable sectors. However, the district’s high solar radiation presents opportunities for renewa</w:t>
      </w:r>
      <w:r>
        <w:rPr>
          <w:lang w:eastAsia="en-GB"/>
        </w:rPr>
        <w:t>ble energy, though uptake remains limited.</w:t>
      </w:r>
    </w:p>
    <w:p w14:paraId="47CBD385" w14:textId="77777777" w:rsidR="0099599B" w:rsidRDefault="00EB7A3F">
      <w:pPr>
        <w:spacing w:line="360" w:lineRule="auto"/>
        <w:jc w:val="both"/>
        <w:rPr>
          <w:lang w:eastAsia="en-GB"/>
        </w:rPr>
      </w:pPr>
      <w:r>
        <w:rPr>
          <w:lang w:eastAsia="en-GB"/>
        </w:rPr>
        <w:t>The district’s natural environment also provides avenues for eco-tourism. The Volta River estuary supports rich biodiversity, including numerous bird species, making it a prime bird-watching destination. Scenic coastal landscapes, mangrove ecosystems and diverse flora enhance its tourism potential. At the same time, challenges such as coastal erosion, salt corrosion of infrastructure, water contamination and climate variability threaten livelihoods and natural systems.</w:t>
      </w:r>
    </w:p>
    <w:p w14:paraId="717E6A95" w14:textId="77777777" w:rsidR="0099599B" w:rsidRDefault="0099599B">
      <w:pPr>
        <w:spacing w:line="360" w:lineRule="auto"/>
      </w:pPr>
    </w:p>
    <w:p w14:paraId="19CBCB18" w14:textId="77777777" w:rsidR="0099599B" w:rsidRDefault="00EB7A3F">
      <w:pPr>
        <w:pStyle w:val="Heading2"/>
        <w:spacing w:line="360" w:lineRule="auto"/>
      </w:pPr>
      <w:bookmarkStart w:id="26" w:name="_Toc22193"/>
      <w:r>
        <w:t>2.5 Economic overview (major economic sectors vulnerability to climate change)</w:t>
      </w:r>
      <w:bookmarkEnd w:id="26"/>
      <w:r>
        <w:tab/>
      </w:r>
    </w:p>
    <w:p w14:paraId="3A3B2006" w14:textId="77777777" w:rsidR="0099599B" w:rsidRDefault="00EB7A3F">
      <w:pPr>
        <w:spacing w:line="360" w:lineRule="auto"/>
        <w:jc w:val="both"/>
        <w:rPr>
          <w:lang w:eastAsia="en-GB"/>
        </w:rPr>
      </w:pPr>
      <w:r>
        <w:rPr>
          <w:lang w:eastAsia="en-GB"/>
        </w:rPr>
        <w:t>The economy of Ada East District is largely agrarian, with crop farming, fishing and salt mining forming the backbone of livelihoods and local development. These sectors employ the majority of the labour force, sustain food security and drive household incomes and trade. Agriculture employs more than 60% of the working population, dominated by smallholder farmers engaged in rain-fed cultivation of cassava, maize, rice and vegetables (GSS, 2021). Livestock rearing, including poultry, goats and cattle, supple</w:t>
      </w:r>
      <w:r>
        <w:rPr>
          <w:lang w:eastAsia="en-GB"/>
        </w:rPr>
        <w:t>ments crop farming and provides additional income for rural households.</w:t>
      </w:r>
    </w:p>
    <w:p w14:paraId="09486AE3" w14:textId="77777777" w:rsidR="0099599B" w:rsidRDefault="00EB7A3F">
      <w:pPr>
        <w:spacing w:line="360" w:lineRule="auto"/>
        <w:jc w:val="both"/>
        <w:rPr>
          <w:lang w:eastAsia="en-GB"/>
        </w:rPr>
      </w:pPr>
      <w:r>
        <w:rPr>
          <w:lang w:eastAsia="en-GB"/>
        </w:rPr>
        <w:t xml:space="preserve">Fishing is the second most important sector, supported by the Volta River, estuary and the Gulf of Guinea. Both inland and marine fisheries are practiced, with thousands of residents depending on fishing for employment and nutrition. Women play a critical role in fish processing and trading, </w:t>
      </w:r>
      <w:r>
        <w:rPr>
          <w:lang w:eastAsia="en-GB"/>
        </w:rPr>
        <w:lastRenderedPageBreak/>
        <w:t>making the sector vital not only to food systems but also to gendered livelihoods (MoFAD, 2020). Salt mining, concentrated around the Songor Lagoon, is another significant economic activity. Traditional salt extraction methods remain common, but the industry is recognized for its potential to expand into industrial production and export markets.</w:t>
      </w:r>
    </w:p>
    <w:p w14:paraId="3A393EBD" w14:textId="77777777" w:rsidR="0099599B" w:rsidRDefault="00EB7A3F">
      <w:pPr>
        <w:spacing w:line="360" w:lineRule="auto"/>
        <w:jc w:val="both"/>
        <w:rPr>
          <w:lang w:eastAsia="en-GB"/>
        </w:rPr>
      </w:pPr>
      <w:r>
        <w:rPr>
          <w:lang w:eastAsia="en-GB"/>
        </w:rPr>
        <w:t>Commerce and services also complement the primary sectors. Kasseh, the largest market center and Big Ada, serve as a commercial hubs for traders across the Greater Accra Region, providing outlets for fish, farm produce, textiles and consumer goods. Small and medium-sized enterprises including petty traders, artisans, food vendors and transport operators, anchor the informal economy (MLGDRD, 2022). Tourism is also emerging as a sector of promise, with attractions such as the Ada Foah estuary, the Asafotufiam</w:t>
      </w:r>
      <w:r>
        <w:rPr>
          <w:lang w:eastAsia="en-GB"/>
        </w:rPr>
        <w:t>i</w:t>
      </w:r>
      <w:r>
        <w:rPr>
          <w:lang w:eastAsia="en-GB"/>
        </w:rPr>
        <w:t xml:space="preserve"> festival and coastal resorts drawing interest in eco-tourism,  and cultural heritage tourism. Deeping the diversity of the district’s economy.</w:t>
      </w:r>
    </w:p>
    <w:p w14:paraId="41289BF2" w14:textId="77777777" w:rsidR="0099599B" w:rsidRDefault="00EB7A3F">
      <w:pPr>
        <w:spacing w:line="360" w:lineRule="auto"/>
        <w:jc w:val="both"/>
        <w:rPr>
          <w:lang w:eastAsia="en-GB"/>
        </w:rPr>
      </w:pPr>
      <w:r>
        <w:rPr>
          <w:lang w:eastAsia="en-GB"/>
        </w:rPr>
        <w:t>Despite these endowments, Ada East faces persistent economic vulnerabilities. Agriculture remains highly dependent on seasonal rainfall, leaving farmers exposed to prolonged dry spells and soil salinization, particularly around the Songor Lagoon (Tarolli et al., 2024; Osman, 2023). These conditions reduce yields of cassava, maize and vegetables, threatening both household income and food security. Fisheries are similarly at risk from changing rainfall patterns, seawater intrusion and irregular fish stocks t</w:t>
      </w:r>
      <w:r>
        <w:rPr>
          <w:lang w:eastAsia="en-GB"/>
        </w:rPr>
        <w:t>hat disrupt traditional fishing cycles (Townhill et al., 2023; Mohd et al., 2024). In addition, salt production is constrained by ecological pressures, with saltwater intrusion into freshwater systems affecting productivity (Krair, 2020).</w:t>
      </w:r>
    </w:p>
    <w:p w14:paraId="4DF37119" w14:textId="77777777" w:rsidR="0099599B" w:rsidRDefault="00EB7A3F">
      <w:pPr>
        <w:spacing w:line="360" w:lineRule="auto"/>
        <w:jc w:val="both"/>
        <w:rPr>
          <w:lang w:eastAsia="en-GB"/>
        </w:rPr>
      </w:pPr>
      <w:r>
        <w:rPr>
          <w:lang w:eastAsia="en-GB"/>
        </w:rPr>
        <w:t>These climate impacts are compounded by structural barriers. Limited access to insurance, credit and agricultural inputs prevents farmers and fisherfolk from adopting resilient practices. Informal employment dominates the economy, leaving many women and youth vulnerable to shocks without adequate social protection (Dodman et al., 2023). Infrastructure deficits such as poor storage facilities, inadequate roads and unreliable energy access, further constrain productivity, market access and value addition. You</w:t>
      </w:r>
      <w:r>
        <w:rPr>
          <w:lang w:eastAsia="en-GB"/>
        </w:rPr>
        <w:t>th unemployment remains high, reflecting limited opportunities beyond agriculture and petty trading.</w:t>
      </w:r>
    </w:p>
    <w:p w14:paraId="0F46B24A" w14:textId="77777777" w:rsidR="0099599B" w:rsidRDefault="00EB7A3F">
      <w:pPr>
        <w:spacing w:line="360" w:lineRule="auto"/>
        <w:jc w:val="both"/>
      </w:pPr>
      <w:r>
        <w:rPr>
          <w:lang w:eastAsia="en-GB"/>
        </w:rPr>
        <w:t xml:space="preserve">Overall, while Ada East’s economy is anchored in natural resource–based activities that provide livelihoods for most households, its vulnerability to climate variability, ecological degradation and structural challenges undermines long-term sustainability. Addressing these issues will require inclusive economic planning, stronger public-private partnerships and deliberate investment in </w:t>
      </w:r>
      <w:r>
        <w:rPr>
          <w:lang w:eastAsia="en-GB"/>
        </w:rPr>
        <w:lastRenderedPageBreak/>
        <w:t>climate-resilient livelihoods, market systems and social protection to safeguard the district’s economic future.</w:t>
      </w:r>
    </w:p>
    <w:p w14:paraId="26326B12" w14:textId="77777777" w:rsidR="0099599B" w:rsidRDefault="0099599B">
      <w:pPr>
        <w:spacing w:line="360" w:lineRule="auto"/>
      </w:pPr>
    </w:p>
    <w:p w14:paraId="77424F21" w14:textId="77777777" w:rsidR="0099599B" w:rsidRDefault="0099599B"/>
    <w:p w14:paraId="45E28AAA" w14:textId="77777777" w:rsidR="0099599B" w:rsidRDefault="0099599B"/>
    <w:p w14:paraId="1EEE8855" w14:textId="77777777" w:rsidR="0099599B" w:rsidRDefault="0099599B"/>
    <w:p w14:paraId="3FF0DFEC" w14:textId="77777777" w:rsidR="0099599B" w:rsidRDefault="0099599B"/>
    <w:p w14:paraId="16CB3FAC" w14:textId="77777777" w:rsidR="0099599B" w:rsidRDefault="0099599B"/>
    <w:p w14:paraId="0E566249" w14:textId="77777777" w:rsidR="0099599B" w:rsidRDefault="0099599B"/>
    <w:p w14:paraId="230531DC" w14:textId="77777777" w:rsidR="0099599B" w:rsidRDefault="0099599B"/>
    <w:p w14:paraId="19568643" w14:textId="77777777" w:rsidR="0099599B" w:rsidRDefault="0099599B"/>
    <w:p w14:paraId="27697ACE" w14:textId="77777777" w:rsidR="0099599B" w:rsidRDefault="0099599B"/>
    <w:p w14:paraId="1498E8BC" w14:textId="77777777" w:rsidR="0099599B" w:rsidRDefault="0099599B"/>
    <w:p w14:paraId="49253B1B" w14:textId="77777777" w:rsidR="0099599B" w:rsidRDefault="0099599B"/>
    <w:p w14:paraId="3459473D" w14:textId="77777777" w:rsidR="0099599B" w:rsidRDefault="0099599B"/>
    <w:p w14:paraId="600EAD20" w14:textId="77777777" w:rsidR="0099599B" w:rsidRDefault="0099599B"/>
    <w:p w14:paraId="2E1486C8" w14:textId="77777777" w:rsidR="0099599B" w:rsidRDefault="0099599B"/>
    <w:p w14:paraId="64837E8C" w14:textId="77777777" w:rsidR="0099599B" w:rsidRDefault="0099599B"/>
    <w:p w14:paraId="239A9D2C" w14:textId="77777777" w:rsidR="0099599B" w:rsidRDefault="0099599B"/>
    <w:p w14:paraId="7D8C726E" w14:textId="77777777" w:rsidR="0099599B" w:rsidRDefault="0099599B"/>
    <w:p w14:paraId="100ED0D0" w14:textId="77777777" w:rsidR="0099599B" w:rsidRDefault="0099599B"/>
    <w:p w14:paraId="236D6FF0" w14:textId="77777777" w:rsidR="0099599B" w:rsidRDefault="0099599B"/>
    <w:p w14:paraId="386C22C1" w14:textId="77777777" w:rsidR="0099599B" w:rsidRDefault="00EB7A3F">
      <w:r>
        <w:br w:type="page"/>
      </w:r>
    </w:p>
    <w:p w14:paraId="277E146A" w14:textId="77777777" w:rsidR="0099599B" w:rsidRDefault="00EB7A3F">
      <w:pPr>
        <w:pStyle w:val="Heading1"/>
        <w:spacing w:line="360" w:lineRule="auto"/>
      </w:pPr>
      <w:bookmarkStart w:id="27" w:name="_Toc16661"/>
      <w:r>
        <w:lastRenderedPageBreak/>
        <w:t xml:space="preserve">CHAPTER 3 – ASSESSMENT OF </w:t>
      </w:r>
      <w:bookmarkStart w:id="28" w:name="_Hlk206459360"/>
      <w:r>
        <w:t>VULNERABILITY TO CURRENT CLIMATE CHANGE</w:t>
      </w:r>
      <w:bookmarkEnd w:id="27"/>
      <w:bookmarkEnd w:id="28"/>
      <w:r>
        <w:tab/>
      </w:r>
    </w:p>
    <w:p w14:paraId="2AE1F93B" w14:textId="77777777" w:rsidR="0099599B" w:rsidRDefault="00EB7A3F">
      <w:pPr>
        <w:spacing w:line="360" w:lineRule="auto"/>
        <w:jc w:val="both"/>
        <w:rPr>
          <w:lang w:eastAsia="en-GB"/>
        </w:rPr>
      </w:pPr>
      <w:r>
        <w:rPr>
          <w:lang w:eastAsia="en-GB"/>
        </w:rPr>
        <w:t xml:space="preserve">This chapter describes level of vulnerability for Ada East District including its communities observed climatic characteristics, economic sectors and corresponding underlying factors such as observed climatic changes including hazards, factors of vulnerability to identify vulnerable locations, sectors and groups and climate change impacts on vulnerable locations, sectors and groups </w:t>
      </w:r>
    </w:p>
    <w:p w14:paraId="3A23144A" w14:textId="77777777" w:rsidR="0099599B" w:rsidRDefault="0099599B">
      <w:pPr>
        <w:spacing w:line="360" w:lineRule="auto"/>
        <w:jc w:val="both"/>
        <w:rPr>
          <w:lang w:eastAsia="en-GB"/>
        </w:rPr>
      </w:pPr>
    </w:p>
    <w:p w14:paraId="6ECE3C23" w14:textId="77777777" w:rsidR="0099599B" w:rsidRDefault="00EB7A3F">
      <w:pPr>
        <w:pStyle w:val="Heading2"/>
        <w:spacing w:line="360" w:lineRule="auto"/>
      </w:pPr>
      <w:bookmarkStart w:id="29" w:name="_Toc21279"/>
      <w:r>
        <w:t>3.1 Analysis of the Observed Climate Changes</w:t>
      </w:r>
      <w:bookmarkEnd w:id="29"/>
      <w:r>
        <w:tab/>
      </w:r>
    </w:p>
    <w:p w14:paraId="78E60213" w14:textId="77777777" w:rsidR="0099599B" w:rsidRDefault="00EB7A3F">
      <w:pPr>
        <w:spacing w:line="360" w:lineRule="auto"/>
      </w:pPr>
      <w:r>
        <w:t>This section presents the observed climatic characteristics of Ada East District.</w:t>
      </w:r>
    </w:p>
    <w:p w14:paraId="2AEA7A61"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t>3</w:t>
      </w:r>
      <w:r>
        <w:rPr>
          <w:rStyle w:val="Heading3Char"/>
          <w:b/>
          <w:bCs/>
        </w:rPr>
        <w:t>.1.1 Rainfall Charact</w:t>
      </w:r>
      <w:r>
        <w:rPr>
          <w:rFonts w:ascii="Times New Roman" w:hAnsi="Times New Roman" w:cs="Times New Roman"/>
        </w:rPr>
        <w:t>eristics</w:t>
      </w:r>
      <w:r>
        <w:rPr>
          <w:rFonts w:ascii="Times New Roman" w:hAnsi="Times New Roman" w:cs="Times New Roman"/>
        </w:rPr>
        <w:tab/>
      </w:r>
    </w:p>
    <w:p w14:paraId="0065AF3D" w14:textId="77777777" w:rsidR="0099599B" w:rsidRDefault="00EB7A3F">
      <w:pPr>
        <w:numPr>
          <w:ilvl w:val="0"/>
          <w:numId w:val="7"/>
        </w:numPr>
        <w:spacing w:line="360" w:lineRule="auto"/>
        <w:jc w:val="both"/>
        <w:rPr>
          <w:lang w:eastAsia="en-GB"/>
        </w:rPr>
      </w:pPr>
      <w:r>
        <w:rPr>
          <w:i/>
          <w:iCs/>
          <w:lang w:eastAsia="en-GB"/>
        </w:rPr>
        <w:t xml:space="preserve">Historical rainfall pattern: </w:t>
      </w:r>
      <w:r>
        <w:rPr>
          <w:lang w:eastAsia="en-GB"/>
        </w:rPr>
        <w:t>Ada East experiences a bimodal rainfall regime, with major rains in May–June and minor rains in September–October.</w:t>
      </w:r>
    </w:p>
    <w:p w14:paraId="58005C06" w14:textId="77777777" w:rsidR="0099599B" w:rsidRDefault="00EB7A3F">
      <w:pPr>
        <w:numPr>
          <w:ilvl w:val="0"/>
          <w:numId w:val="7"/>
        </w:numPr>
        <w:spacing w:line="360" w:lineRule="auto"/>
        <w:jc w:val="both"/>
        <w:rPr>
          <w:lang w:eastAsia="en-GB"/>
        </w:rPr>
      </w:pPr>
      <w:r>
        <w:rPr>
          <w:i/>
          <w:iCs/>
          <w:lang w:eastAsia="en-GB"/>
        </w:rPr>
        <w:t xml:space="preserve">Observed trends: </w:t>
      </w:r>
      <w:r>
        <w:rPr>
          <w:lang w:eastAsia="en-GB"/>
        </w:rPr>
        <w:t>Historical data show higher totals of annual and extreme rainfall compared to projected future scenarios (SSP2-4.5 and SSP5-8.5).</w:t>
      </w:r>
    </w:p>
    <w:p w14:paraId="20D73A1C" w14:textId="77777777" w:rsidR="0099599B" w:rsidRDefault="00EB7A3F">
      <w:pPr>
        <w:numPr>
          <w:ilvl w:val="0"/>
          <w:numId w:val="7"/>
        </w:numPr>
        <w:spacing w:line="360" w:lineRule="auto"/>
        <w:jc w:val="both"/>
        <w:rPr>
          <w:lang w:eastAsia="en-GB"/>
        </w:rPr>
      </w:pPr>
      <w:r>
        <w:rPr>
          <w:lang w:eastAsia="en-GB"/>
        </w:rPr>
        <w:t>Indices such as total annual rainfall (RR) and extreme precipitation days (R95p, R95pTOT) were higher in the historical baseline than under future projections.</w:t>
      </w:r>
    </w:p>
    <w:p w14:paraId="7BDD038F" w14:textId="77777777" w:rsidR="0099599B" w:rsidRDefault="00EB7A3F">
      <w:pPr>
        <w:numPr>
          <w:ilvl w:val="0"/>
          <w:numId w:val="7"/>
        </w:numPr>
        <w:spacing w:line="360" w:lineRule="auto"/>
        <w:jc w:val="both"/>
        <w:rPr>
          <w:lang w:eastAsia="en-GB"/>
        </w:rPr>
      </w:pPr>
      <w:r>
        <w:rPr>
          <w:rFonts w:ascii="Times New Roman Italic" w:hAnsi="Times New Roman Italic" w:cs="Times New Roman Italic"/>
          <w:i/>
          <w:iCs/>
          <w:lang w:eastAsia="en-GB"/>
        </w:rPr>
        <w:t>Increase in dry spells:</w:t>
      </w:r>
      <w:r>
        <w:rPr>
          <w:lang w:eastAsia="en-GB"/>
        </w:rPr>
        <w:t xml:space="preserve"> Prolonged dry days (DD) and consecutive dry days (CDD) are expected to rise, signaling longer drought periods.</w:t>
      </w:r>
    </w:p>
    <w:p w14:paraId="68DE7869" w14:textId="77777777" w:rsidR="0099599B" w:rsidRDefault="00EB7A3F">
      <w:pPr>
        <w:numPr>
          <w:ilvl w:val="0"/>
          <w:numId w:val="7"/>
        </w:numPr>
        <w:spacing w:line="360" w:lineRule="auto"/>
        <w:jc w:val="both"/>
        <w:rPr>
          <w:lang w:eastAsia="en-GB"/>
        </w:rPr>
      </w:pPr>
      <w:r>
        <w:rPr>
          <w:i/>
          <w:iCs/>
          <w:lang w:eastAsia="en-GB"/>
        </w:rPr>
        <w:t>Decline in wet spells:</w:t>
      </w:r>
      <w:r>
        <w:rPr>
          <w:lang w:eastAsia="en-GB"/>
        </w:rPr>
        <w:t xml:space="preserve"> The frequency of wet days (WD) and consecutive wet days (CWD) is projected to fall, intensifying rainfall variability.</w:t>
      </w:r>
    </w:p>
    <w:p w14:paraId="39BE50E7" w14:textId="77777777" w:rsidR="0099599B" w:rsidRDefault="00EB7A3F">
      <w:pPr>
        <w:numPr>
          <w:ilvl w:val="0"/>
          <w:numId w:val="7"/>
        </w:numPr>
        <w:spacing w:line="360" w:lineRule="auto"/>
        <w:jc w:val="both"/>
        <w:rPr>
          <w:lang w:eastAsia="en-GB"/>
        </w:rPr>
      </w:pPr>
      <w:r>
        <w:rPr>
          <w:lang w:eastAsia="en-GB"/>
        </w:rPr>
        <w:t>Fewer but more intense rainfall events are likely, increasing risks of flash floods, soil erosion, and reduced predictability for rain-fed agriculture (Ghana Meteorological Agency 2020; EPA 2021).</w:t>
      </w:r>
    </w:p>
    <w:p w14:paraId="553271F4" w14:textId="77777777" w:rsidR="0099599B" w:rsidRDefault="0099599B">
      <w:pPr>
        <w:spacing w:line="360" w:lineRule="auto"/>
        <w:jc w:val="both"/>
        <w:rPr>
          <w:lang w:eastAsia="en-GB"/>
        </w:rPr>
      </w:pPr>
    </w:p>
    <w:p w14:paraId="0B4A74C9" w14:textId="77777777" w:rsidR="0099599B" w:rsidRDefault="00EB7A3F">
      <w:pPr>
        <w:pStyle w:val="Heading3"/>
        <w:spacing w:line="360" w:lineRule="auto"/>
        <w:rPr>
          <w:rFonts w:ascii="Times New Roman" w:hAnsi="Times New Roman" w:cs="Times New Roman"/>
        </w:rPr>
      </w:pPr>
      <w:r>
        <w:rPr>
          <w:rStyle w:val="Heading3Char"/>
          <w:b/>
          <w:bCs/>
        </w:rPr>
        <w:lastRenderedPageBreak/>
        <w:t>3.1.2 Temperature Characteristics</w:t>
      </w:r>
      <w:r>
        <w:rPr>
          <w:rFonts w:ascii="Times New Roman" w:hAnsi="Times New Roman" w:cs="Times New Roman"/>
        </w:rPr>
        <w:tab/>
      </w:r>
    </w:p>
    <w:p w14:paraId="426F0003" w14:textId="77777777" w:rsidR="0099599B" w:rsidRDefault="00EB7A3F">
      <w:pPr>
        <w:numPr>
          <w:ilvl w:val="0"/>
          <w:numId w:val="7"/>
        </w:numPr>
        <w:spacing w:line="360" w:lineRule="auto"/>
        <w:jc w:val="both"/>
        <w:rPr>
          <w:lang w:eastAsia="en-GB"/>
        </w:rPr>
      </w:pPr>
      <w:r>
        <w:rPr>
          <w:i/>
          <w:iCs/>
          <w:lang w:eastAsia="en-GB"/>
        </w:rPr>
        <w:t>Rising Temperatures:</w:t>
      </w:r>
      <w:r>
        <w:rPr>
          <w:lang w:eastAsia="en-GB"/>
        </w:rPr>
        <w:t xml:space="preserve"> Average temperatures in Ada East have increased by 1.0°C–1.5°C over the past five decades (GMet, 2020), consistent with broader West African warming of ~0.2°C per decade since the 1960s (IPCC, 2021).</w:t>
      </w:r>
    </w:p>
    <w:p w14:paraId="37604763" w14:textId="77777777" w:rsidR="0099599B" w:rsidRDefault="00EB7A3F">
      <w:pPr>
        <w:numPr>
          <w:ilvl w:val="0"/>
          <w:numId w:val="7"/>
        </w:numPr>
        <w:spacing w:line="360" w:lineRule="auto"/>
        <w:jc w:val="both"/>
        <w:rPr>
          <w:lang w:eastAsia="en-GB"/>
        </w:rPr>
      </w:pPr>
      <w:r>
        <w:rPr>
          <w:i/>
          <w:iCs/>
          <w:lang w:eastAsia="en-GB"/>
        </w:rPr>
        <w:t>Current Range:</w:t>
      </w:r>
      <w:r>
        <w:rPr>
          <w:lang w:eastAsia="en-GB"/>
        </w:rPr>
        <w:t xml:space="preserve"> Daytime temperatures now range between 27°C and 33°C, with peaks above 35°C during the hot season (February–April) (EPA, 2021).</w:t>
      </w:r>
    </w:p>
    <w:p w14:paraId="039F61B5" w14:textId="77777777" w:rsidR="0099599B" w:rsidRDefault="0099599B">
      <w:pPr>
        <w:spacing w:line="360" w:lineRule="auto"/>
        <w:jc w:val="both"/>
        <w:rPr>
          <w:lang w:eastAsia="en-GB"/>
        </w:rPr>
      </w:pPr>
    </w:p>
    <w:p w14:paraId="14740DD6" w14:textId="77777777" w:rsidR="0099599B" w:rsidRDefault="00EB7A3F">
      <w:pPr>
        <w:numPr>
          <w:ilvl w:val="0"/>
          <w:numId w:val="7"/>
        </w:numPr>
        <w:spacing w:line="360" w:lineRule="auto"/>
        <w:jc w:val="both"/>
        <w:rPr>
          <w:lang w:eastAsia="en-GB"/>
        </w:rPr>
      </w:pPr>
      <w:r>
        <w:rPr>
          <w:i/>
          <w:iCs/>
          <w:lang w:eastAsia="en-GB"/>
        </w:rPr>
        <w:t>Heatwaves &amp; Soil Stress:</w:t>
      </w:r>
      <w:r>
        <w:rPr>
          <w:lang w:eastAsia="en-GB"/>
        </w:rPr>
        <w:t xml:space="preserve"> Rising heat intensity has led to more frequent heatwaves, higher evaporation rates, and reduced soil moisture retention.</w:t>
      </w:r>
    </w:p>
    <w:p w14:paraId="43437D3E" w14:textId="77777777" w:rsidR="0099599B" w:rsidRDefault="00EB7A3F">
      <w:pPr>
        <w:numPr>
          <w:ilvl w:val="0"/>
          <w:numId w:val="7"/>
        </w:numPr>
        <w:spacing w:line="360" w:lineRule="auto"/>
        <w:jc w:val="both"/>
        <w:rPr>
          <w:lang w:eastAsia="en-GB"/>
        </w:rPr>
      </w:pPr>
      <w:r>
        <w:rPr>
          <w:i/>
          <w:iCs/>
          <w:lang w:eastAsia="en-GB"/>
        </w:rPr>
        <w:t>Agricultural Impacts:</w:t>
      </w:r>
      <w:r>
        <w:rPr>
          <w:lang w:eastAsia="en-GB"/>
        </w:rPr>
        <w:t xml:space="preserve"> Farmers report significant heat stress on crops such as maize and okra, resulting in lower yields and reduced income (MoFA, 2023).</w:t>
      </w:r>
    </w:p>
    <w:p w14:paraId="0F289DB3" w14:textId="77777777" w:rsidR="0099599B" w:rsidRDefault="00EB7A3F">
      <w:pPr>
        <w:numPr>
          <w:ilvl w:val="0"/>
          <w:numId w:val="7"/>
        </w:numPr>
        <w:spacing w:line="360" w:lineRule="auto"/>
        <w:jc w:val="both"/>
        <w:rPr>
          <w:lang w:eastAsia="en-GB"/>
        </w:rPr>
      </w:pPr>
      <w:r>
        <w:rPr>
          <w:i/>
          <w:iCs/>
          <w:lang w:eastAsia="en-GB"/>
        </w:rPr>
        <w:t>Water Security:</w:t>
      </w:r>
      <w:r>
        <w:rPr>
          <w:lang w:eastAsia="en-GB"/>
        </w:rPr>
        <w:t xml:space="preserve"> Increased evaporation contributes to declining water availability, exacerbating household and farming challenges.</w:t>
      </w:r>
    </w:p>
    <w:p w14:paraId="24369E44" w14:textId="77777777" w:rsidR="0099599B" w:rsidRDefault="00EB7A3F">
      <w:pPr>
        <w:numPr>
          <w:ilvl w:val="0"/>
          <w:numId w:val="7"/>
        </w:numPr>
        <w:spacing w:line="360" w:lineRule="auto"/>
        <w:jc w:val="both"/>
        <w:rPr>
          <w:lang w:eastAsia="en-GB"/>
        </w:rPr>
      </w:pPr>
      <w:r>
        <w:rPr>
          <w:i/>
          <w:iCs/>
          <w:lang w:eastAsia="en-GB"/>
        </w:rPr>
        <w:t xml:space="preserve">Health Risks: </w:t>
      </w:r>
      <w:r>
        <w:rPr>
          <w:lang w:eastAsia="en-GB"/>
        </w:rPr>
        <w:t>Prolonged exposure to high temperatures has been linked to rising cases of heat exhaustion, dehydration, and related health issues, especially among children and the elderly (MoH, 2020).</w:t>
      </w:r>
    </w:p>
    <w:p w14:paraId="5E62600E" w14:textId="77777777" w:rsidR="0099599B" w:rsidRDefault="0099599B">
      <w:pPr>
        <w:numPr>
          <w:ilvl w:val="255"/>
          <w:numId w:val="0"/>
        </w:numPr>
        <w:spacing w:line="360" w:lineRule="auto"/>
        <w:jc w:val="both"/>
        <w:rPr>
          <w:lang w:eastAsia="en-GB"/>
        </w:rPr>
      </w:pPr>
    </w:p>
    <w:p w14:paraId="7F0BF29E" w14:textId="77777777" w:rsidR="0099599B" w:rsidRDefault="00EB7A3F">
      <w:pPr>
        <w:pStyle w:val="Heading3"/>
        <w:spacing w:line="360" w:lineRule="auto"/>
      </w:pPr>
      <w:r>
        <w:t>3.1.3 Tidal and Coastal Dynamics</w:t>
      </w:r>
    </w:p>
    <w:p w14:paraId="08678912" w14:textId="77777777" w:rsidR="0099599B" w:rsidRDefault="00EB7A3F">
      <w:pPr>
        <w:numPr>
          <w:ilvl w:val="0"/>
          <w:numId w:val="7"/>
        </w:numPr>
        <w:spacing w:line="360" w:lineRule="auto"/>
        <w:rPr>
          <w:lang w:eastAsia="en-GB"/>
        </w:rPr>
      </w:pPr>
      <w:r>
        <w:rPr>
          <w:i/>
          <w:iCs/>
          <w:lang w:eastAsia="en-GB"/>
        </w:rPr>
        <w:t xml:space="preserve">Sea Level Rise: </w:t>
      </w:r>
      <w:r>
        <w:rPr>
          <w:lang w:eastAsia="en-GB"/>
        </w:rPr>
        <w:t>Along the Gulf of Guinea, sea levels are rising at an average of 3.1 mm per year, exposing Ada East’s coastal communities to higher risks (Appeaning Addo et al., 2011; IPCC, 2021).</w:t>
      </w:r>
    </w:p>
    <w:p w14:paraId="070219C9" w14:textId="77777777" w:rsidR="0099599B" w:rsidRDefault="00EB7A3F">
      <w:pPr>
        <w:numPr>
          <w:ilvl w:val="0"/>
          <w:numId w:val="7"/>
        </w:numPr>
        <w:spacing w:line="360" w:lineRule="auto"/>
        <w:rPr>
          <w:lang w:eastAsia="en-GB"/>
        </w:rPr>
      </w:pPr>
      <w:r>
        <w:rPr>
          <w:i/>
          <w:iCs/>
          <w:lang w:eastAsia="en-GB"/>
        </w:rPr>
        <w:t xml:space="preserve">Accelerated Coastal Erosion: </w:t>
      </w:r>
      <w:r>
        <w:rPr>
          <w:lang w:eastAsia="en-GB"/>
        </w:rPr>
        <w:t>Communities such as Azizanya, Kewunor, and Ada Foah are losing several meters of shoreline annually, undermining settlements and infrastructure (Boateng, 2012).</w:t>
      </w:r>
    </w:p>
    <w:p w14:paraId="76A3E7DE" w14:textId="77777777" w:rsidR="0099599B" w:rsidRDefault="00EB7A3F">
      <w:pPr>
        <w:numPr>
          <w:ilvl w:val="0"/>
          <w:numId w:val="7"/>
        </w:numPr>
        <w:spacing w:line="360" w:lineRule="auto"/>
        <w:rPr>
          <w:lang w:eastAsia="en-GB"/>
        </w:rPr>
      </w:pPr>
      <w:r>
        <w:rPr>
          <w:i/>
          <w:iCs/>
          <w:lang w:eastAsia="en-GB"/>
        </w:rPr>
        <w:t>Saltwater Intrusion:</w:t>
      </w:r>
      <w:r>
        <w:rPr>
          <w:lang w:eastAsia="en-GB"/>
        </w:rPr>
        <w:t xml:space="preserve"> Rising seas are driving saltwater intrusion into freshwater aquifers and farmlands, contaminating drinking water sources (WRI, 2022).</w:t>
      </w:r>
    </w:p>
    <w:p w14:paraId="0903242A" w14:textId="77777777" w:rsidR="0099599B" w:rsidRDefault="00EB7A3F">
      <w:pPr>
        <w:numPr>
          <w:ilvl w:val="0"/>
          <w:numId w:val="7"/>
        </w:numPr>
        <w:spacing w:line="360" w:lineRule="auto"/>
        <w:rPr>
          <w:lang w:eastAsia="en-GB"/>
        </w:rPr>
      </w:pPr>
      <w:r>
        <w:rPr>
          <w:i/>
          <w:iCs/>
          <w:lang w:eastAsia="en-GB"/>
        </w:rPr>
        <w:lastRenderedPageBreak/>
        <w:t>Agricultural Threats:</w:t>
      </w:r>
      <w:r>
        <w:rPr>
          <w:lang w:eastAsia="en-GB"/>
        </w:rPr>
        <w:t xml:space="preserve"> Intrusion of saltwater into soils is reducing farmland productivity, making some areas unsuitable for crop cultivation.</w:t>
      </w:r>
    </w:p>
    <w:p w14:paraId="588F241E" w14:textId="77777777" w:rsidR="0099599B" w:rsidRDefault="00EB7A3F">
      <w:pPr>
        <w:numPr>
          <w:ilvl w:val="0"/>
          <w:numId w:val="7"/>
        </w:numPr>
        <w:spacing w:line="360" w:lineRule="auto"/>
      </w:pPr>
      <w:r>
        <w:rPr>
          <w:i/>
          <w:iCs/>
          <w:lang w:eastAsia="en-GB"/>
        </w:rPr>
        <w:t xml:space="preserve">Livelihood Risks: </w:t>
      </w:r>
      <w:r>
        <w:rPr>
          <w:lang w:eastAsia="en-GB"/>
        </w:rPr>
        <w:t>These combined pressures of land loss and water contamination threaten Ada East’s agrarian and fishing-based economy, putting vulnerable households at greater risk.</w:t>
      </w:r>
    </w:p>
    <w:p w14:paraId="066969F8" w14:textId="77777777" w:rsidR="0099599B" w:rsidRDefault="0099599B">
      <w:pPr>
        <w:spacing w:line="360" w:lineRule="auto"/>
      </w:pPr>
    </w:p>
    <w:p w14:paraId="1513051F" w14:textId="77777777" w:rsidR="0099599B" w:rsidRDefault="00EB7A3F">
      <w:pPr>
        <w:pStyle w:val="Heading3"/>
        <w:spacing w:line="360" w:lineRule="auto"/>
      </w:pPr>
      <w:r>
        <w:t xml:space="preserve">3.1.4.  District Seasonal Change Calendar </w:t>
      </w:r>
    </w:p>
    <w:p w14:paraId="15B82851" w14:textId="77777777" w:rsidR="0099599B" w:rsidRDefault="00EB7A3F">
      <w:pPr>
        <w:spacing w:line="360" w:lineRule="auto"/>
        <w:jc w:val="both"/>
        <w:rPr>
          <w:lang w:eastAsia="en-GB"/>
        </w:rPr>
      </w:pPr>
      <w:r>
        <w:rPr>
          <w:lang w:eastAsia="en-GB"/>
        </w:rPr>
        <w:t>The climate-induced seasonal calendar of Ada East was participatorily developed by stakeholders combining expert insights with lived experiences of the district. Stakeholders observed that the seasonal calendar has been shifting under the influence of climate change, disrupting planting, harvesting, fishing cycles, and reshaping social roles and responsibilities.</w:t>
      </w:r>
    </w:p>
    <w:p w14:paraId="54EF6BCA" w14:textId="77777777" w:rsidR="0099599B" w:rsidRDefault="00EB7A3F">
      <w:pPr>
        <w:numPr>
          <w:ilvl w:val="0"/>
          <w:numId w:val="7"/>
        </w:numPr>
        <w:spacing w:line="360" w:lineRule="auto"/>
        <w:jc w:val="both"/>
        <w:rPr>
          <w:lang w:eastAsia="en-GB"/>
        </w:rPr>
      </w:pPr>
      <w:r>
        <w:rPr>
          <w:rFonts w:ascii="Times New Roman Bold" w:hAnsi="Times New Roman Bold" w:cs="Times New Roman Bold"/>
          <w:b/>
          <w:bCs/>
          <w:lang w:eastAsia="en-GB"/>
        </w:rPr>
        <w:t>Agriculture</w:t>
      </w:r>
      <w:r>
        <w:rPr>
          <w:lang w:eastAsia="en-GB"/>
        </w:rPr>
        <w:t xml:space="preserve"> remains the backbone of livelihoods. Key crops such as maize, melon, and vegetables follow distinct seasonal cycles. Traditionally, maize is planted in January and October, while melons are planted in February and August. Vegetables, a major source of household income, are cultivated almost year-round, with peaks in planting in January and harvesting in December. However, climate change has disrupted these patterns. Erratic rainfall delays planting, while prolonged dry spells force farmers into staggered s</w:t>
      </w:r>
      <w:r>
        <w:rPr>
          <w:lang w:eastAsia="en-GB"/>
        </w:rPr>
        <w:t>chedules. Many now rely on supplementary irrigation, though access varies depending on resources. Women play a significant role in planting and harvesting, often as hired laborers during peak seasons, making them especially vulnerable to climate-induced agricultural disruptions.</w:t>
      </w:r>
    </w:p>
    <w:p w14:paraId="0006FF5A" w14:textId="77777777" w:rsidR="0099599B" w:rsidRDefault="00EB7A3F">
      <w:pPr>
        <w:numPr>
          <w:ilvl w:val="0"/>
          <w:numId w:val="7"/>
        </w:numPr>
        <w:spacing w:line="360" w:lineRule="auto"/>
        <w:jc w:val="both"/>
        <w:rPr>
          <w:lang w:eastAsia="en-GB"/>
        </w:rPr>
      </w:pPr>
      <w:r>
        <w:rPr>
          <w:rFonts w:ascii="Times New Roman Bold" w:hAnsi="Times New Roman Bold" w:cs="Times New Roman Bold"/>
          <w:b/>
          <w:bCs/>
          <w:lang w:eastAsia="en-GB"/>
        </w:rPr>
        <w:t>Fishing</w:t>
      </w:r>
      <w:r>
        <w:rPr>
          <w:lang w:eastAsia="en-GB"/>
        </w:rPr>
        <w:t xml:space="preserve"> is another critical livelihood and remains highly seasonal. Men dominate marine fishing expeditions, which intensify during the dry season when sea conditions are more favorable. Women, by contrast, are primarily engaged in processing and trading fish, transforming fresh catch into smoked or dried products for sale. Yet, changing tidal regimes, declining fish stocks, and sea level rise have altered the timing and productivity of fishing seasons. Women are excluded from decision-making on when expeditions a</w:t>
      </w:r>
      <w:r>
        <w:rPr>
          <w:lang w:eastAsia="en-GB"/>
        </w:rPr>
        <w:t>re launched, despite their heavy reliance on the outcomes. This exclusion worsens gender disparities and undermines household resilience.</w:t>
      </w:r>
    </w:p>
    <w:p w14:paraId="277EC071" w14:textId="77777777" w:rsidR="0099599B" w:rsidRDefault="00EB7A3F">
      <w:pPr>
        <w:numPr>
          <w:ilvl w:val="0"/>
          <w:numId w:val="7"/>
        </w:numPr>
        <w:spacing w:line="360" w:lineRule="auto"/>
        <w:jc w:val="both"/>
        <w:rPr>
          <w:lang w:eastAsia="en-GB"/>
        </w:rPr>
      </w:pPr>
      <w:r>
        <w:rPr>
          <w:rFonts w:ascii="Times New Roman Bold" w:hAnsi="Times New Roman Bold" w:cs="Times New Roman Bold"/>
          <w:b/>
          <w:bCs/>
          <w:lang w:eastAsia="en-GB"/>
        </w:rPr>
        <w:lastRenderedPageBreak/>
        <w:t>Salt mining</w:t>
      </w:r>
      <w:r>
        <w:rPr>
          <w:lang w:eastAsia="en-GB"/>
        </w:rPr>
        <w:t xml:space="preserve"> a traditional activity, peaks in the hot and dry months (December–February) when evaporation is highest. Men are mainly responsible for mining salt, while women dominate processing and trade. Climate variability introduces unpredictability: unseasonal rains often flood salt pans, reducing yields and causing financial losses. This disproportionately impacts women traders whose incomes depend on timely access to processed salt.</w:t>
      </w:r>
    </w:p>
    <w:p w14:paraId="44A970FD" w14:textId="77777777" w:rsidR="0099599B" w:rsidRDefault="00EB7A3F">
      <w:pPr>
        <w:numPr>
          <w:ilvl w:val="0"/>
          <w:numId w:val="7"/>
        </w:numPr>
        <w:spacing w:line="360" w:lineRule="auto"/>
        <w:jc w:val="both"/>
        <w:rPr>
          <w:lang w:eastAsia="en-GB"/>
        </w:rPr>
      </w:pPr>
      <w:r>
        <w:rPr>
          <w:rFonts w:ascii="Times New Roman Bold" w:hAnsi="Times New Roman Bold" w:cs="Times New Roman Bold"/>
          <w:b/>
          <w:bCs/>
          <w:lang w:eastAsia="en-GB"/>
        </w:rPr>
        <w:t xml:space="preserve">Livestock rearing </w:t>
      </w:r>
      <w:r>
        <w:rPr>
          <w:lang w:eastAsia="en-GB"/>
        </w:rPr>
        <w:t>(especially cattle) occurs year-round but becomes more demanding in the dry season when grazing land is scarce. Men and boys typically shoulder the responsibility of moving animals long distances in search of fodder and water, while women contribute indirectly by managing household food during lean periods. Prolonged droughts increase livestock mortality, eroding a critical safety net for households.</w:t>
      </w:r>
    </w:p>
    <w:p w14:paraId="33607B65" w14:textId="77777777" w:rsidR="0099599B" w:rsidRDefault="00EB7A3F">
      <w:pPr>
        <w:spacing w:line="360" w:lineRule="auto"/>
        <w:jc w:val="both"/>
        <w:rPr>
          <w:lang w:eastAsia="en-GB"/>
        </w:rPr>
      </w:pPr>
      <w:r>
        <w:rPr>
          <w:noProof/>
        </w:rPr>
        <mc:AlternateContent>
          <mc:Choice Requires="wps">
            <w:drawing>
              <wp:anchor distT="0" distB="0" distL="114300" distR="114300" simplePos="0" relativeHeight="251665408" behindDoc="0" locked="0" layoutInCell="1" allowOverlap="1" wp14:anchorId="4571CFA2" wp14:editId="3A374FF2">
                <wp:simplePos x="0" y="0"/>
                <wp:positionH relativeFrom="column">
                  <wp:posOffset>4865370</wp:posOffset>
                </wp:positionH>
                <wp:positionV relativeFrom="paragraph">
                  <wp:posOffset>2150745</wp:posOffset>
                </wp:positionV>
                <wp:extent cx="525145" cy="228600"/>
                <wp:effectExtent l="0" t="0" r="8255" b="0"/>
                <wp:wrapNone/>
                <wp:docPr id="35" name="Text Box 35"/>
                <wp:cNvGraphicFramePr/>
                <a:graphic xmlns:a="http://schemas.openxmlformats.org/drawingml/2006/main">
                  <a:graphicData uri="http://schemas.microsoft.com/office/word/2010/wordprocessingShape">
                    <wps:wsp>
                      <wps:cNvSpPr txBox="1"/>
                      <wps:spPr>
                        <a:xfrm>
                          <a:off x="0" y="0"/>
                          <a:ext cx="525145"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7501B5" w14:textId="77777777" w:rsidR="0099599B" w:rsidRDefault="00EB7A3F">
                            <w:pPr>
                              <w:rPr>
                                <w:sz w:val="16"/>
                                <w:szCs w:val="16"/>
                              </w:rPr>
                            </w:pPr>
                            <w:r>
                              <w:rPr>
                                <w:sz w:val="16"/>
                                <w:szCs w:val="16"/>
                              </w:rPr>
                              <w:t>Dec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83.1pt;margin-top:169.35pt;height:18pt;width:41.35pt;z-index:251665408;mso-width-relative:page;mso-height-relative:page;" fillcolor="#FFFFFF [3201]" filled="t" stroked="f" coordsize="21600,21600" o:gfxdata="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V6usNcAAAALAQAADwAAAAAAAAABACAAAAAiAAAA&#10;ZHJzL2Rvd25yZXYueG1sUEsBAhQAFAAAAAgAh07iQBW77g1BAgAAjwQAAA4AAAAAAAAAAQAgAAAA&#10;JgEAAGRycy9lMm9Eb2MueG1sUEsFBgAAAAAGAAYAWQEAANkFAAAAAA==&#10;">
                <v:fill on="t" focussize="0,0"/>
                <v:stroke on="f" weight="0.5pt"/>
                <v:imagedata o:title=""/>
                <o:lock v:ext="edit" aspectratio="f"/>
                <v:textbox>
                  <w:txbxContent>
                    <w:p w14:paraId="7B360FCA">
                      <w:pPr>
                        <w:rPr>
                          <w:rFonts w:hint="default"/>
                          <w:sz w:val="16"/>
                          <w:szCs w:val="16"/>
                          <w:lang w:val="en-US"/>
                        </w:rPr>
                      </w:pPr>
                      <w:r>
                        <w:rPr>
                          <w:rFonts w:hint="default"/>
                          <w:sz w:val="16"/>
                          <w:szCs w:val="16"/>
                          <w:lang w:val="en-US"/>
                        </w:rPr>
                        <w:t>Dec</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702C570" wp14:editId="405D4150">
                <wp:simplePos x="0" y="0"/>
                <wp:positionH relativeFrom="column">
                  <wp:posOffset>2063115</wp:posOffset>
                </wp:positionH>
                <wp:positionV relativeFrom="paragraph">
                  <wp:posOffset>2159635</wp:posOffset>
                </wp:positionV>
                <wp:extent cx="525145" cy="228600"/>
                <wp:effectExtent l="0" t="0" r="8255" b="0"/>
                <wp:wrapNone/>
                <wp:docPr id="33" name="Text Box 33"/>
                <wp:cNvGraphicFramePr/>
                <a:graphic xmlns:a="http://schemas.openxmlformats.org/drawingml/2006/main">
                  <a:graphicData uri="http://schemas.microsoft.com/office/word/2010/wordprocessingShape">
                    <wps:wsp>
                      <wps:cNvSpPr txBox="1"/>
                      <wps:spPr>
                        <a:xfrm>
                          <a:off x="2986405" y="6160135"/>
                          <a:ext cx="525145"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7E25BF" w14:textId="77777777" w:rsidR="0099599B" w:rsidRDefault="00EB7A3F">
                            <w:pPr>
                              <w:rPr>
                                <w:sz w:val="16"/>
                                <w:szCs w:val="16"/>
                              </w:rPr>
                            </w:pPr>
                            <w:r>
                              <w:rPr>
                                <w:sz w:val="16"/>
                                <w:szCs w:val="16"/>
                              </w:rPr>
                              <w:t>April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62.45pt;margin-top:170.05pt;height:18pt;width:41.35pt;z-index:251663360;mso-width-relative:page;mso-height-relative:page;" fillcolor="#FFFFFF [3201]" filled="t" stroked="f" coordsize="21600,21600" o:gfxdata="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ELcgtYAAAALAQAADwAAAAAA&#10;AAABACAAAAAiAAAAZHJzL2Rvd25yZXYueG1sUEsBAhQAFAAAAAgAh07iQKT8I3NOAgAAmwQAAA4A&#10;AAAAAAAAAQAgAAAAJQEAAGRycy9lMm9Eb2MueG1sUEsFBgAAAAAGAAYAWQEAAOUFAAAAAA==&#10;">
                <v:fill on="t" focussize="0,0"/>
                <v:stroke on="f" weight="0.5pt"/>
                <v:imagedata o:title=""/>
                <o:lock v:ext="edit" aspectratio="f"/>
                <v:textbox>
                  <w:txbxContent>
                    <w:p w14:paraId="27A5CF8F">
                      <w:pPr>
                        <w:rPr>
                          <w:rFonts w:hint="default"/>
                          <w:sz w:val="16"/>
                          <w:szCs w:val="16"/>
                          <w:lang w:val="en-US"/>
                        </w:rPr>
                      </w:pPr>
                      <w:r>
                        <w:rPr>
                          <w:rFonts w:hint="default"/>
                          <w:sz w:val="16"/>
                          <w:szCs w:val="16"/>
                          <w:lang w:val="en-US"/>
                        </w:rPr>
                        <w:t>April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49F7BFE" wp14:editId="0564A8A0">
                <wp:simplePos x="0" y="0"/>
                <wp:positionH relativeFrom="column">
                  <wp:posOffset>3764915</wp:posOffset>
                </wp:positionH>
                <wp:positionV relativeFrom="paragraph">
                  <wp:posOffset>2150745</wp:posOffset>
                </wp:positionV>
                <wp:extent cx="525145" cy="228600"/>
                <wp:effectExtent l="0" t="0" r="8255" b="0"/>
                <wp:wrapNone/>
                <wp:docPr id="34" name="Text Box 34"/>
                <wp:cNvGraphicFramePr/>
                <a:graphic xmlns:a="http://schemas.openxmlformats.org/drawingml/2006/main">
                  <a:graphicData uri="http://schemas.microsoft.com/office/word/2010/wordprocessingShape">
                    <wps:wsp>
                      <wps:cNvSpPr txBox="1"/>
                      <wps:spPr>
                        <a:xfrm>
                          <a:off x="0" y="0"/>
                          <a:ext cx="525145"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6FB99E" w14:textId="77777777" w:rsidR="0099599B" w:rsidRDefault="00EB7A3F">
                            <w:pPr>
                              <w:rPr>
                                <w:sz w:val="16"/>
                                <w:szCs w:val="16"/>
                              </w:rPr>
                            </w:pPr>
                            <w:r>
                              <w:rPr>
                                <w:sz w:val="16"/>
                                <w:szCs w:val="16"/>
                              </w:rPr>
                              <w:t>April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96.45pt;margin-top:169.35pt;height:18pt;width:41.35pt;z-index:251664384;mso-width-relative:page;mso-height-relative:page;" fillcolor="#FFFFFF [3201]" filled="t" stroked="f" coordsize="21600,21600" o:gfxdata="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DOMPXAAAACwEAAA8AAAAAAAAAAQAgAAAAIgAA&#10;AGRycy9kb3ducmV2LnhtbFBLAQIUABQAAAAIAIdO4kDoyq40QgIAAI8EAAAOAAAAAAAAAAEAIAAA&#10;ACYBAABkcnMvZTJvRG9jLnhtbFBLBQYAAAAABgAGAFkBAADaBQAAAAA=&#10;">
                <v:fill on="t" focussize="0,0"/>
                <v:stroke on="f" weight="0.5pt"/>
                <v:imagedata o:title=""/>
                <o:lock v:ext="edit" aspectratio="f"/>
                <v:textbox>
                  <w:txbxContent>
                    <w:p w14:paraId="1EA1EE6F">
                      <w:pPr>
                        <w:rPr>
                          <w:rFonts w:hint="default"/>
                          <w:sz w:val="16"/>
                          <w:szCs w:val="16"/>
                          <w:lang w:val="en-US"/>
                        </w:rPr>
                      </w:pPr>
                      <w:r>
                        <w:rPr>
                          <w:rFonts w:hint="default"/>
                          <w:sz w:val="16"/>
                          <w:szCs w:val="16"/>
                          <w:lang w:val="en-US"/>
                        </w:rPr>
                        <w:t>April</w:t>
                      </w:r>
                    </w:p>
                  </w:txbxContent>
                </v:textbox>
              </v:shape>
            </w:pict>
          </mc:Fallback>
        </mc:AlternateContent>
      </w:r>
      <w:r>
        <w:rPr>
          <w:noProof/>
        </w:rPr>
        <w:drawing>
          <wp:inline distT="0" distB="0" distL="114300" distR="114300" wp14:anchorId="01A5C471" wp14:editId="4F6DCD03">
            <wp:extent cx="5949950" cy="3380105"/>
            <wp:effectExtent l="0" t="0" r="889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9"/>
                    <a:stretch>
                      <a:fillRect/>
                    </a:stretch>
                  </pic:blipFill>
                  <pic:spPr>
                    <a:xfrm>
                      <a:off x="0" y="0"/>
                      <a:ext cx="5949950" cy="3380105"/>
                    </a:xfrm>
                    <a:prstGeom prst="rect">
                      <a:avLst/>
                    </a:prstGeom>
                    <a:noFill/>
                    <a:ln>
                      <a:noFill/>
                    </a:ln>
                  </pic:spPr>
                </pic:pic>
              </a:graphicData>
            </a:graphic>
          </wp:inline>
        </w:drawing>
      </w:r>
    </w:p>
    <w:p w14:paraId="176A913C" w14:textId="77777777" w:rsidR="0099599B" w:rsidRDefault="00EB7A3F">
      <w:pPr>
        <w:pStyle w:val="Caption"/>
        <w:spacing w:line="360" w:lineRule="auto"/>
        <w:jc w:val="both"/>
        <w:rPr>
          <w:rFonts w:ascii="Times New Roman" w:hAnsi="Times New Roman"/>
          <w:lang w:eastAsia="en-GB"/>
        </w:rPr>
      </w:pPr>
      <w:r>
        <w:t xml:space="preserve">Figure </w:t>
      </w:r>
      <w:r>
        <w:fldChar w:fldCharType="begin"/>
      </w:r>
      <w:r>
        <w:instrText xml:space="preserve"> SEQ Figure \* ARABIC </w:instrText>
      </w:r>
      <w:r>
        <w:fldChar w:fldCharType="separate"/>
      </w:r>
      <w:r>
        <w:t>4</w:t>
      </w:r>
      <w:r>
        <w:fldChar w:fldCharType="end"/>
      </w:r>
      <w:bookmarkStart w:id="30" w:name="_Toc13093"/>
      <w:r>
        <w:rPr>
          <w:lang w:eastAsia="en-GB"/>
        </w:rPr>
        <w:t>: Digitalised image of stakeholder (group) representation of district seasonal calendar</w:t>
      </w:r>
      <w:bookmarkEnd w:id="30"/>
    </w:p>
    <w:p w14:paraId="6E525F78" w14:textId="77777777" w:rsidR="0099599B" w:rsidRDefault="0099599B">
      <w:pPr>
        <w:spacing w:line="360" w:lineRule="auto"/>
        <w:jc w:val="both"/>
        <w:rPr>
          <w:lang w:eastAsia="en-GB"/>
        </w:rPr>
      </w:pPr>
    </w:p>
    <w:p w14:paraId="69257308" w14:textId="77777777" w:rsidR="0099599B" w:rsidRDefault="00EB7A3F">
      <w:pPr>
        <w:spacing w:line="360" w:lineRule="auto"/>
        <w:jc w:val="both"/>
        <w:rPr>
          <w:lang w:eastAsia="en-GB"/>
        </w:rPr>
      </w:pPr>
      <w:r>
        <w:rPr>
          <w:lang w:eastAsia="en-GB"/>
        </w:rPr>
        <w:t xml:space="preserve">The gendered nature of seasonal labor in Ada East is striking. Men often control the timing of fishing, livestock movements, and salt mining, while women shoulder much of the burden of planting, harvesting, fish processing, and trading. Women’s peak labor demands occur during planting and harvesting seasons, when they provide both family and hired labor. At these times, </w:t>
      </w:r>
      <w:r>
        <w:rPr>
          <w:lang w:eastAsia="en-GB"/>
        </w:rPr>
        <w:lastRenderedPageBreak/>
        <w:t xml:space="preserve">their workload increases significantly, reducing time for domestic responsibilities and limiting opportunities for other income-generating activities. Children—particularly girls—are sometimes withdrawn from school to assist with farm work or trading during peak periods. Persons with disabilities (PWDs) and other marginalized groups face heightened vulnerability, as discrimination and social barriers often exclude them from agricultural and fishing labor opportunities, leaving them with very limited income </w:t>
      </w:r>
      <w:r>
        <w:rPr>
          <w:lang w:eastAsia="en-GB"/>
        </w:rPr>
        <w:t>options.</w:t>
      </w:r>
    </w:p>
    <w:p w14:paraId="5CBADE3C" w14:textId="77777777" w:rsidR="0099599B" w:rsidRDefault="00EB7A3F">
      <w:pPr>
        <w:spacing w:line="360" w:lineRule="auto"/>
        <w:jc w:val="both"/>
        <w:rPr>
          <w:lang w:eastAsia="en-GB"/>
        </w:rPr>
      </w:pPr>
      <w:r>
        <w:rPr>
          <w:lang w:eastAsia="en-GB"/>
        </w:rPr>
        <w:t>Over the last 20–30 years, the timing of seasonal activities has shifted considerably. Previously, predictable rainfall allowed for timely land preparation and planting. Today, climate variability has delayed planting windows, shortened growing periods, and increased risks of crop failure. Fishing yields, once abundant during specific months, are declining, while tidal surges and coastal erosion now threaten aquaculture and fish-processing facilities. These changes have contributed to food insecurity, incom</w:t>
      </w:r>
      <w:r>
        <w:rPr>
          <w:lang w:eastAsia="en-GB"/>
        </w:rPr>
        <w:t>e losses, and increased migration of youth to urban areas in search of alternative livelihoods.</w:t>
      </w:r>
    </w:p>
    <w:p w14:paraId="07EC85F5" w14:textId="77777777" w:rsidR="0099599B" w:rsidRDefault="00EB7A3F">
      <w:pPr>
        <w:spacing w:line="360" w:lineRule="auto"/>
        <w:jc w:val="both"/>
        <w:rPr>
          <w:lang w:eastAsia="en-GB"/>
        </w:rPr>
      </w:pPr>
      <w:r>
        <w:rPr>
          <w:lang w:eastAsia="en-GB"/>
        </w:rPr>
        <w:t>In response, households and communities have adopted a variety of coping strategies. Farmers increasingly rely on supplementary irrigation, though access remains limited to wealthier households. Women traders and processors are diversifying into petty trading and non-farm activities to cushion losses. Some communities are pursuing afforestation and mangrove restoration initiatives to safeguard coastlines and water bodies. Meanwhile, early warning systems are gaining recognition as essential tools for managi</w:t>
      </w:r>
      <w:r>
        <w:rPr>
          <w:lang w:eastAsia="en-GB"/>
        </w:rPr>
        <w:t>ng risks, but dissemination remains weak. Strengthening climate information services to provide timely and accessible forecasts for farmers and fishers would greatly enhance adaptive capacity in the district.</w:t>
      </w:r>
    </w:p>
    <w:p w14:paraId="17DBB989" w14:textId="77777777" w:rsidR="0099599B" w:rsidRDefault="0099599B">
      <w:pPr>
        <w:spacing w:line="360" w:lineRule="auto"/>
        <w:rPr>
          <w:lang w:eastAsia="en-GB"/>
        </w:rPr>
      </w:pPr>
    </w:p>
    <w:p w14:paraId="636972B7" w14:textId="77777777" w:rsidR="0099599B" w:rsidRDefault="00EB7A3F">
      <w:pPr>
        <w:pStyle w:val="Heading2"/>
        <w:spacing w:line="360" w:lineRule="auto"/>
      </w:pPr>
      <w:bookmarkStart w:id="31" w:name="_Toc14414"/>
      <w:r>
        <w:t xml:space="preserve">3.2 Qualitative </w:t>
      </w:r>
      <w:bookmarkStart w:id="32" w:name="_Hlk206459412"/>
      <w:r>
        <w:t>Assessment of Vulnerability to Current Climate Change</w:t>
      </w:r>
      <w:bookmarkEnd w:id="31"/>
      <w:bookmarkEnd w:id="32"/>
    </w:p>
    <w:p w14:paraId="5F62CE4A" w14:textId="77777777" w:rsidR="0099599B" w:rsidRDefault="00EB7A3F">
      <w:pPr>
        <w:spacing w:line="360" w:lineRule="auto"/>
        <w:jc w:val="both"/>
      </w:pPr>
      <w:r>
        <w:t>This section presents an assessment of the vulnerability of Ada East summarised from the responses of stakeholders’ in a District-Specific Vulnerability Assessment Validation of Adaptation Strategies Workshop workshop organised on April 29</w:t>
      </w:r>
      <w:r>
        <w:rPr>
          <w:vertAlign w:val="superscript"/>
        </w:rPr>
        <w:t>th</w:t>
      </w:r>
      <w:r>
        <w:t xml:space="preserve">, 2025 in Ada East district. </w:t>
      </w:r>
      <w:r>
        <w:rPr>
          <w:lang w:val="en-GB"/>
        </w:rPr>
        <w:t xml:space="preserve">The workshop brought together </w:t>
      </w:r>
      <w:r>
        <w:t xml:space="preserve">33 </w:t>
      </w:r>
      <w:r>
        <w:rPr>
          <w:lang w:val="en-GB"/>
        </w:rPr>
        <w:t xml:space="preserve">participants from relevant sectors of the </w:t>
      </w:r>
      <w:r>
        <w:t>district</w:t>
      </w:r>
      <w:r>
        <w:rPr>
          <w:lang w:val="en-GB"/>
        </w:rPr>
        <w:t xml:space="preserve">. The stakeholders/participants include officers of the municipalities, representatives of government agencies relevant to climate </w:t>
      </w:r>
      <w:r>
        <w:rPr>
          <w:lang w:val="en-GB"/>
        </w:rPr>
        <w:lastRenderedPageBreak/>
        <w:t>impacts, traditional authority and community groups, representative of persons living with disability, non-governmental and corporate social organisations and the media</w:t>
      </w:r>
      <w:r>
        <w:t xml:space="preserve">. </w:t>
      </w:r>
    </w:p>
    <w:p w14:paraId="6C90D7BA" w14:textId="77777777" w:rsidR="0099599B" w:rsidRDefault="00EB7A3F">
      <w:pPr>
        <w:spacing w:line="360" w:lineRule="auto"/>
        <w:jc w:val="both"/>
      </w:pPr>
      <w:r>
        <w:rPr>
          <w:noProof/>
        </w:rPr>
        <w:drawing>
          <wp:inline distT="0" distB="0" distL="114300" distR="114300" wp14:anchorId="425EBB24" wp14:editId="473E2B38">
            <wp:extent cx="3666490" cy="2750185"/>
            <wp:effectExtent l="0" t="0" r="6350" b="8255"/>
            <wp:docPr id="13" name="Picture 13" descr="IMG_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_1094"/>
                    <pic:cNvPicPr>
                      <a:picLocks noChangeAspect="1"/>
                    </pic:cNvPicPr>
                  </pic:nvPicPr>
                  <pic:blipFill>
                    <a:blip r:embed="rId20"/>
                    <a:stretch>
                      <a:fillRect/>
                    </a:stretch>
                  </pic:blipFill>
                  <pic:spPr>
                    <a:xfrm>
                      <a:off x="0" y="0"/>
                      <a:ext cx="3666490" cy="2750185"/>
                    </a:xfrm>
                    <a:prstGeom prst="rect">
                      <a:avLst/>
                    </a:prstGeom>
                  </pic:spPr>
                </pic:pic>
              </a:graphicData>
            </a:graphic>
          </wp:inline>
        </w:drawing>
      </w:r>
      <w:r>
        <w:rPr>
          <w:noProof/>
        </w:rPr>
        <w:drawing>
          <wp:inline distT="0" distB="0" distL="114300" distR="114300" wp14:anchorId="370CE6B3" wp14:editId="04FB3553">
            <wp:extent cx="2750185" cy="2063115"/>
            <wp:effectExtent l="0" t="0" r="9525" b="8255"/>
            <wp:docPr id="14" name="Picture 14" descr="IMG_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G_1087"/>
                    <pic:cNvPicPr>
                      <a:picLocks noChangeAspect="1"/>
                    </pic:cNvPicPr>
                  </pic:nvPicPr>
                  <pic:blipFill>
                    <a:blip r:embed="rId21"/>
                    <a:stretch>
                      <a:fillRect/>
                    </a:stretch>
                  </pic:blipFill>
                  <pic:spPr>
                    <a:xfrm rot="5400000">
                      <a:off x="0" y="0"/>
                      <a:ext cx="2750185" cy="2063115"/>
                    </a:xfrm>
                    <a:prstGeom prst="rect">
                      <a:avLst/>
                    </a:prstGeom>
                  </pic:spPr>
                </pic:pic>
              </a:graphicData>
            </a:graphic>
          </wp:inline>
        </w:drawing>
      </w:r>
    </w:p>
    <w:p w14:paraId="0BB0FB87" w14:textId="77777777" w:rsidR="0099599B" w:rsidRDefault="00EB7A3F">
      <w:pPr>
        <w:pStyle w:val="Caption"/>
        <w:spacing w:line="360" w:lineRule="auto"/>
        <w:jc w:val="both"/>
      </w:pPr>
      <w:r>
        <w:t xml:space="preserve">Figure </w:t>
      </w:r>
      <w:r>
        <w:fldChar w:fldCharType="begin"/>
      </w:r>
      <w:r>
        <w:instrText xml:space="preserve"> SEQ Figure \* ARABIC </w:instrText>
      </w:r>
      <w:r>
        <w:fldChar w:fldCharType="separate"/>
      </w:r>
      <w:r>
        <w:t>5</w:t>
      </w:r>
      <w:r>
        <w:fldChar w:fldCharType="end"/>
      </w:r>
      <w:bookmarkStart w:id="33" w:name="_Toc29201"/>
      <w:r>
        <w:t>: Images of Stakeholders at District-Specific Vulnerability Assessment Validation of Adaptation Strategies Workshop workshop organised on April 29th, 2025</w:t>
      </w:r>
      <w:bookmarkEnd w:id="33"/>
    </w:p>
    <w:p w14:paraId="1FAE0E63" w14:textId="77777777" w:rsidR="0099599B" w:rsidRDefault="0099599B">
      <w:pPr>
        <w:spacing w:line="360" w:lineRule="auto"/>
        <w:jc w:val="both"/>
      </w:pPr>
    </w:p>
    <w:p w14:paraId="736AA31C" w14:textId="77777777" w:rsidR="0099599B" w:rsidRDefault="00EB7A3F">
      <w:pPr>
        <w:pStyle w:val="Heading3"/>
        <w:spacing w:line="360" w:lineRule="auto"/>
      </w:pPr>
      <w:r>
        <w:t>3.2.1 Extreme Event Records in the district</w:t>
      </w:r>
    </w:p>
    <w:p w14:paraId="5D005D62" w14:textId="77777777" w:rsidR="0099599B" w:rsidRDefault="00EB7A3F">
      <w:pPr>
        <w:spacing w:line="360" w:lineRule="auto"/>
        <w:jc w:val="both"/>
        <w:rPr>
          <w:lang w:eastAsia="en-GB"/>
        </w:rPr>
      </w:pPr>
      <w:r>
        <w:rPr>
          <w:lang w:eastAsia="en-GB"/>
        </w:rPr>
        <w:t xml:space="preserve">Ada East District’s geography, climate variability, and human activity have combined to make it highly susceptible to a range of climate hazards that have intensified over time. </w:t>
      </w:r>
    </w:p>
    <w:p w14:paraId="720B6E50" w14:textId="77777777" w:rsidR="0099599B" w:rsidRDefault="00EB7A3F">
      <w:pPr>
        <w:spacing w:line="360" w:lineRule="auto"/>
        <w:jc w:val="both"/>
        <w:rPr>
          <w:lang w:eastAsia="en-GB"/>
        </w:rPr>
      </w:pPr>
      <w:r>
        <w:rPr>
          <w:rFonts w:ascii="Times New Roman Bold" w:hAnsi="Times New Roman Bold" w:cs="Times New Roman Bold"/>
          <w:b/>
          <w:bCs/>
          <w:lang w:eastAsia="en-GB"/>
        </w:rPr>
        <w:t>Coastal flooding</w:t>
      </w:r>
      <w:r>
        <w:rPr>
          <w:lang w:eastAsia="en-GB"/>
        </w:rPr>
        <w:t xml:space="preserve"> is among the most recurrent and damaging hazards. The district’s low-lying position between the Volta River and the Atlantic Ocean exposes it to flooding from tidal surges, river overflows, and intense rainfall. Records from the National Disaster Management Organization indicate that flood events in coastal Ghana—particularly in Ada East—have become more frequent and severe over the past two decades. The controlled spillage of the Akosombo Dam in September 2023 illustrates how climate variability interacts</w:t>
      </w:r>
      <w:r>
        <w:rPr>
          <w:lang w:eastAsia="en-GB"/>
        </w:rPr>
        <w:t xml:space="preserve"> with human interventions to produce cascading risks. While the spillage was necessary to safeguard the dam’s integrity, it inundated vast areas of Ada East, displacing over 5,600 people, destroying more than 2,000 homes, and submerging croplands. Just months later, in April 2024, tidal surges combined with high river levels submerged over 100 structures in communities such as Azizanya, Ayi</w:t>
      </w:r>
      <w:r>
        <w:rPr>
          <w:lang w:eastAsia="en-GB"/>
        </w:rPr>
        <w:t>g</w:t>
      </w:r>
      <w:r>
        <w:rPr>
          <w:lang w:eastAsia="en-GB"/>
        </w:rPr>
        <w:t xml:space="preserve">bo, and Kewunor. </w:t>
      </w:r>
      <w:r>
        <w:rPr>
          <w:lang w:eastAsia="en-GB"/>
        </w:rPr>
        <w:lastRenderedPageBreak/>
        <w:t>These overlapping events underscore how multiple hazards can converge to magnify local vulnerabilitie</w:t>
      </w:r>
      <w:r>
        <w:rPr>
          <w:lang w:eastAsia="en-GB"/>
        </w:rPr>
        <w:t>s. The situation is worsened by inadequate drainage, weak land-use planning, and unregulated construction in flood-prone zones, leaving more than 30 percent of settlements exposed to high flood risks. Climate projections of more extreme rainfall further highlight the precarious future facing the district.</w:t>
      </w:r>
    </w:p>
    <w:p w14:paraId="3B93DA9D" w14:textId="77777777" w:rsidR="0099599B" w:rsidRDefault="00EB7A3F">
      <w:pPr>
        <w:spacing w:line="360" w:lineRule="auto"/>
        <w:jc w:val="both"/>
        <w:rPr>
          <w:lang w:eastAsia="en-GB"/>
        </w:rPr>
      </w:pPr>
      <w:r>
        <w:rPr>
          <w:rFonts w:ascii="Times New Roman Bold" w:hAnsi="Times New Roman Bold" w:cs="Times New Roman Bold"/>
          <w:b/>
          <w:bCs/>
          <w:lang w:eastAsia="en-GB"/>
        </w:rPr>
        <w:t>Tidal waves</w:t>
      </w:r>
      <w:r>
        <w:rPr>
          <w:lang w:eastAsia="en-GB"/>
        </w:rPr>
        <w:t xml:space="preserve"> and coastal erosion compound these challenges. Locally described as “sea defense breaches,” tidal waves have grown more frequent and destructive, displacing households, destroying homes, and washing away farmland. In April 2022, powerful waves devastated Kewunor</w:t>
      </w:r>
      <w:r>
        <w:rPr>
          <w:lang w:eastAsia="en-GB"/>
        </w:rPr>
        <w:t xml:space="preserve"> in Ada East district</w:t>
      </w:r>
      <w:r>
        <w:rPr>
          <w:lang w:eastAsia="en-GB"/>
        </w:rPr>
        <w:t xml:space="preserve"> and Fuveme</w:t>
      </w:r>
      <w:r>
        <w:rPr>
          <w:lang w:eastAsia="en-GB"/>
        </w:rPr>
        <w:t xml:space="preserve"> in the Volta Region</w:t>
      </w:r>
      <w:r>
        <w:rPr>
          <w:lang w:eastAsia="en-GB"/>
        </w:rPr>
        <w:t>, demolishing over 300 homes and stripping away large tracts of farmland. The absence of a continuous sea defense system leaves many communities vulnerable to relentless wave action. Beyond physica</w:t>
      </w:r>
      <w:r>
        <w:rPr>
          <w:lang w:eastAsia="en-GB"/>
        </w:rPr>
        <w:t>l losses, tidal waves exacerbate saltwater intrusion into freshwater and farmland, undermining both food and water security. Human activities such as sand mining, destruction of coastal vegetation, and unregulated construction further weaken natural defenses. Between 2005 and 2020, Ada East lost over 120 hectares of coastal land—a stark reminder of its shrinking shoreline.</w:t>
      </w:r>
    </w:p>
    <w:p w14:paraId="32369413" w14:textId="77777777" w:rsidR="0099599B" w:rsidRDefault="00EB7A3F">
      <w:pPr>
        <w:spacing w:line="360" w:lineRule="auto"/>
        <w:jc w:val="both"/>
        <w:rPr>
          <w:lang w:eastAsia="en-GB"/>
        </w:rPr>
      </w:pPr>
      <w:r>
        <w:rPr>
          <w:lang w:eastAsia="en-GB"/>
        </w:rPr>
        <w:t>Equally concerning is the decline of mangrove ecosystems, which serve as natural buffers against floods and erosion while providing vital breeding grounds for fish and crabs. In Ada East, mangroves in the Songor Lagoon and Volta River estuary have been severely degraded by unsustainable harvesting for firewood, fish smoking, and urban expansion, compounded by climate stressors such as salinity changes and sea level rise. The consequences are already visible: dwindling crab and fish stocks are eroding househ</w:t>
      </w:r>
      <w:r>
        <w:rPr>
          <w:lang w:eastAsia="en-GB"/>
        </w:rPr>
        <w:t>old incomes, while communities lose crucial protection against tidal surges. Evidence from other coastal regions suggests that community-led mangrove restoration, supported by legal protection and alternative livelihoods, could enhance both ecological and economic resilience.</w:t>
      </w:r>
    </w:p>
    <w:p w14:paraId="72DB6AFA" w14:textId="77777777" w:rsidR="0099599B" w:rsidRDefault="00EB7A3F">
      <w:pPr>
        <w:spacing w:line="360" w:lineRule="auto"/>
        <w:jc w:val="both"/>
        <w:rPr>
          <w:lang w:eastAsia="en-GB"/>
        </w:rPr>
      </w:pPr>
      <w:r>
        <w:rPr>
          <w:lang w:eastAsia="en-GB"/>
        </w:rPr>
        <w:t>The district also faces mounting climate-related health risks. Flooding creates stagnant water that breeds mosquitoes and fosters outbreaks of malaria, cholera, typhoid, and hepatitis A. In October 2024, Ada East and Ada West recorded 43 confirmed cholera cases, including two fatalities. A wider outbreak in March 2025 affected more than 1,700 individuals across 32 districts, with Ada East among the hardest hit. These outbreaks were linked to flood-induced contamination of water supplies, inadequate drainage</w:t>
      </w:r>
      <w:r>
        <w:rPr>
          <w:lang w:eastAsia="en-GB"/>
        </w:rPr>
        <w:t xml:space="preserve">, and indiscriminate waste disposal. Settlements such as Ada Foah </w:t>
      </w:r>
      <w:r>
        <w:rPr>
          <w:lang w:eastAsia="en-GB"/>
        </w:rPr>
        <w:lastRenderedPageBreak/>
        <w:t>and Kasseh, which rely heavily on open drains, are especially vulnerable. Rising temperatures also accelerate mosquito life cycles, extending malaria transmission seasons and widening the spread of vector-borne diseases. Local clinics, already overstretched, struggle to respond—underscoring the urgent need for stronger disease surveillance, improved WASH infrastructure, and targeted health education.</w:t>
      </w:r>
    </w:p>
    <w:p w14:paraId="66A3DCFF" w14:textId="77777777" w:rsidR="0099599B" w:rsidRDefault="00EB7A3F">
      <w:pPr>
        <w:spacing w:line="360" w:lineRule="auto"/>
        <w:jc w:val="both"/>
        <w:rPr>
          <w:lang w:eastAsia="en-GB"/>
        </w:rPr>
      </w:pPr>
      <w:r>
        <w:rPr>
          <w:lang w:eastAsia="en-GB"/>
        </w:rPr>
        <w:t>The historical record reveals a clear escalation in both the frequency and severity of climate hazards in Ada East, shaped as much by human activity and weak infrastructure as by climatic forces.</w:t>
      </w:r>
    </w:p>
    <w:p w14:paraId="37621D4C" w14:textId="77777777" w:rsidR="0099599B" w:rsidRDefault="00EB7A3F">
      <w:pPr>
        <w:pStyle w:val="Caption"/>
        <w:spacing w:line="360" w:lineRule="auto"/>
      </w:pPr>
      <w:r>
        <w:t xml:space="preserve">Table </w:t>
      </w:r>
      <w:r>
        <w:fldChar w:fldCharType="begin"/>
      </w:r>
      <w:r>
        <w:instrText xml:space="preserve"> SEQ Table \* ARABIC </w:instrText>
      </w:r>
      <w:r>
        <w:fldChar w:fldCharType="separate"/>
      </w:r>
      <w:r>
        <w:t>1</w:t>
      </w:r>
      <w:r>
        <w:fldChar w:fldCharType="end"/>
      </w:r>
      <w:bookmarkStart w:id="34" w:name="_Toc15818"/>
      <w:r>
        <w:t>: Observed Natural Hazard and Extreme Events in Ada East District</w:t>
      </w:r>
      <w:bookmarkEnd w:id="34"/>
    </w:p>
    <w:tbl>
      <w:tblPr>
        <w:tblStyle w:val="GridTable4-Accent51"/>
        <w:tblW w:w="9973" w:type="dxa"/>
        <w:tblInd w:w="-199" w:type="dxa"/>
        <w:tblLayout w:type="fixed"/>
        <w:tblLook w:val="04A0" w:firstRow="1" w:lastRow="0" w:firstColumn="1" w:lastColumn="0" w:noHBand="0" w:noVBand="1"/>
      </w:tblPr>
      <w:tblGrid>
        <w:gridCol w:w="1013"/>
        <w:gridCol w:w="1441"/>
        <w:gridCol w:w="1933"/>
        <w:gridCol w:w="2477"/>
        <w:gridCol w:w="3109"/>
      </w:tblGrid>
      <w:tr w:rsidR="0099599B" w14:paraId="2A6D73AF" w14:textId="77777777" w:rsidTr="0099599B">
        <w:trPr>
          <w:cnfStyle w:val="100000000000" w:firstRow="1" w:lastRow="0" w:firstColumn="0" w:lastColumn="0" w:oddVBand="0" w:evenVBand="0" w:oddHBand="0" w:evenHBand="0" w:firstRowFirstColumn="0" w:firstRowLastColumn="0" w:lastRowFirstColumn="0" w:lastRowLastColumn="0"/>
          <w:trHeight w:val="909"/>
          <w:tblHeader/>
        </w:trPr>
        <w:tc>
          <w:tcPr>
            <w:cnfStyle w:val="001000000000" w:firstRow="0" w:lastRow="0" w:firstColumn="1" w:lastColumn="0" w:oddVBand="0" w:evenVBand="0" w:oddHBand="0" w:evenHBand="0" w:firstRowFirstColumn="0" w:firstRowLastColumn="0" w:lastRowFirstColumn="0" w:lastRowLastColumn="0"/>
            <w:tcW w:w="1013" w:type="dxa"/>
            <w:vAlign w:val="center"/>
          </w:tcPr>
          <w:p w14:paraId="4A0AAD59" w14:textId="77777777" w:rsidR="0099599B" w:rsidRDefault="00EB7A3F">
            <w:pPr>
              <w:spacing w:after="0" w:line="360" w:lineRule="auto"/>
              <w:rPr>
                <w:rFonts w:ascii="Calibri" w:eastAsia="DengXian" w:hAnsi="Calibri" w:cs="Arial"/>
              </w:rPr>
            </w:pPr>
            <w:bookmarkStart w:id="35" w:name="_Hlk195257105"/>
            <w:r>
              <w:rPr>
                <w:rFonts w:ascii="Calibri" w:eastAsia="DengXian" w:hAnsi="Calibri" w:cs="Arial"/>
              </w:rPr>
              <w:t>Date</w:t>
            </w:r>
          </w:p>
        </w:tc>
        <w:tc>
          <w:tcPr>
            <w:tcW w:w="1441" w:type="dxa"/>
            <w:vAlign w:val="center"/>
          </w:tcPr>
          <w:p w14:paraId="16A906C7" w14:textId="77777777" w:rsidR="0099599B" w:rsidRDefault="00EB7A3F">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 xml:space="preserve">Hazardous Event </w:t>
            </w:r>
          </w:p>
        </w:tc>
        <w:tc>
          <w:tcPr>
            <w:tcW w:w="1933" w:type="dxa"/>
            <w:vAlign w:val="center"/>
          </w:tcPr>
          <w:p w14:paraId="6D75B2CB" w14:textId="77777777" w:rsidR="0099599B" w:rsidRDefault="00EB7A3F">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Location</w:t>
            </w:r>
          </w:p>
        </w:tc>
        <w:tc>
          <w:tcPr>
            <w:tcW w:w="2477" w:type="dxa"/>
            <w:vAlign w:val="center"/>
          </w:tcPr>
          <w:p w14:paraId="5758FFEB" w14:textId="77777777" w:rsidR="0099599B" w:rsidRDefault="00EB7A3F">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 xml:space="preserve">Impact </w:t>
            </w:r>
          </w:p>
        </w:tc>
        <w:tc>
          <w:tcPr>
            <w:tcW w:w="3109" w:type="dxa"/>
            <w:vAlign w:val="center"/>
          </w:tcPr>
          <w:p w14:paraId="0C5EC30D" w14:textId="77777777" w:rsidR="0099599B" w:rsidRDefault="00EB7A3F">
            <w:pPr>
              <w:spacing w:after="0" w:line="360" w:lineRule="auto"/>
              <w:cnfStyle w:val="100000000000" w:firstRow="1"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Reference</w:t>
            </w:r>
          </w:p>
        </w:tc>
      </w:tr>
      <w:tr w:rsidR="0099599B" w14:paraId="66715E9C" w14:textId="77777777" w:rsidTr="0099599B">
        <w:trPr>
          <w:trHeight w:val="1142"/>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43FBCFA0" w14:textId="77777777" w:rsidR="0099599B" w:rsidRDefault="00EB7A3F">
            <w:pPr>
              <w:spacing w:after="0" w:line="360" w:lineRule="auto"/>
              <w:rPr>
                <w:rFonts w:ascii="Calibri" w:eastAsia="DengXian" w:hAnsi="Calibri" w:cs="Arial"/>
                <w:color w:val="FFFFFF"/>
              </w:rPr>
            </w:pPr>
            <w:r>
              <w:rPr>
                <w:rFonts w:ascii="Calibri" w:eastAsia="Calibri" w:hAnsi="Calibri" w:cs="Calibri"/>
                <w:color w:val="000000"/>
              </w:rPr>
              <w:t>Jan-</w:t>
            </w:r>
            <w:r>
              <w:rPr>
                <w:rFonts w:ascii="Calibri" w:eastAsia="Calibri" w:hAnsi="Calibri" w:cs="Calibri"/>
                <w:color w:val="000000"/>
              </w:rPr>
              <w:t>20</w:t>
            </w:r>
            <w:r>
              <w:rPr>
                <w:rFonts w:ascii="Calibri" w:eastAsia="Calibri" w:hAnsi="Calibri" w:cs="Calibri"/>
                <w:color w:val="000000"/>
              </w:rPr>
              <w:t>24</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E58F8CE"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color w:val="000000"/>
              </w:rPr>
              <w:t>Fire Outbreak</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64DBBD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Koluedor zongo, Tojeh, Hwakpo and Addo Kope in the Ada East District</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F2C327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It causes damage to property animals and in the case of ECG, some wooden electricity poles in the bushy areas.</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D99201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https://www.graphic.com.gh/news/general-news/ghana-news-see-how-bushfires-are-destroying-ecg-power-poles-in-tema-area-photos.html</w:t>
            </w:r>
          </w:p>
        </w:tc>
      </w:tr>
      <w:tr w:rsidR="0099599B" w14:paraId="2382E4FD" w14:textId="77777777" w:rsidTr="0099599B">
        <w:trPr>
          <w:trHeight w:val="1331"/>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2647665B" w14:textId="77777777" w:rsidR="0099599B" w:rsidRDefault="00EB7A3F">
            <w:pPr>
              <w:spacing w:after="0" w:line="360" w:lineRule="auto"/>
              <w:rPr>
                <w:rFonts w:ascii="Calibri" w:eastAsia="DengXian" w:hAnsi="Calibri" w:cs="Arial"/>
                <w:color w:val="FFFFFF"/>
              </w:rPr>
            </w:pPr>
            <w:r>
              <w:rPr>
                <w:rFonts w:ascii="Calibri" w:eastAsia="Calibri" w:hAnsi="Calibri" w:cs="Calibri"/>
                <w:color w:val="000000"/>
              </w:rPr>
              <w:t>Oct-</w:t>
            </w:r>
            <w:r>
              <w:rPr>
                <w:rFonts w:ascii="Calibri" w:eastAsia="Calibri" w:hAnsi="Calibri" w:cs="Calibri"/>
                <w:color w:val="000000"/>
              </w:rPr>
              <w:t>20</w:t>
            </w:r>
            <w:r>
              <w:rPr>
                <w:rFonts w:ascii="Calibri" w:eastAsia="Calibri" w:hAnsi="Calibri" w:cs="Calibri"/>
                <w:color w:val="000000"/>
              </w:rPr>
              <w:t>24</w:t>
            </w:r>
          </w:p>
        </w:tc>
        <w:tc>
          <w:tcPr>
            <w:tcW w:w="1441" w:type="dxa"/>
            <w:tcBorders>
              <w:top w:val="single" w:sz="4" w:space="0" w:color="9CC2E5"/>
              <w:left w:val="single" w:sz="4" w:space="0" w:color="9CC2E5"/>
              <w:bottom w:val="single" w:sz="4" w:space="0" w:color="9CC2E5"/>
              <w:right w:val="single" w:sz="4" w:space="0" w:color="9CC2E5"/>
            </w:tcBorders>
            <w:vAlign w:val="center"/>
          </w:tcPr>
          <w:p w14:paraId="1C2E892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Cholera Outbreak</w:t>
            </w:r>
          </w:p>
        </w:tc>
        <w:tc>
          <w:tcPr>
            <w:tcW w:w="1933" w:type="dxa"/>
            <w:tcBorders>
              <w:top w:val="single" w:sz="4" w:space="0" w:color="9CC2E5"/>
              <w:left w:val="single" w:sz="4" w:space="0" w:color="9CC2E5"/>
              <w:bottom w:val="single" w:sz="4" w:space="0" w:color="9CC2E5"/>
              <w:right w:val="single" w:sz="4" w:space="0" w:color="9CC2E5"/>
            </w:tcBorders>
            <w:vAlign w:val="center"/>
          </w:tcPr>
          <w:p w14:paraId="40514E34"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color w:val="212529"/>
                <w:shd w:val="clear" w:color="auto" w:fill="FFFFFF"/>
              </w:rPr>
              <w:t xml:space="preserve"> Ada East and Ada West districts in the Greater Accra</w:t>
            </w:r>
          </w:p>
        </w:tc>
        <w:tc>
          <w:tcPr>
            <w:tcW w:w="2477" w:type="dxa"/>
            <w:tcBorders>
              <w:top w:val="single" w:sz="4" w:space="0" w:color="9CC2E5"/>
              <w:left w:val="single" w:sz="4" w:space="0" w:color="9CC2E5"/>
              <w:bottom w:val="single" w:sz="4" w:space="0" w:color="9CC2E5"/>
              <w:right w:val="single" w:sz="4" w:space="0" w:color="9CC2E5"/>
            </w:tcBorders>
            <w:vAlign w:val="center"/>
          </w:tcPr>
          <w:p w14:paraId="0A31E5F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It resulted in the deaths of two individual with 43 cases reported</w:t>
            </w:r>
          </w:p>
        </w:tc>
        <w:tc>
          <w:tcPr>
            <w:tcW w:w="3109" w:type="dxa"/>
            <w:tcBorders>
              <w:top w:val="single" w:sz="4" w:space="0" w:color="9CC2E5"/>
              <w:left w:val="single" w:sz="4" w:space="0" w:color="9CC2E5"/>
              <w:bottom w:val="single" w:sz="4" w:space="0" w:color="9CC2E5"/>
              <w:right w:val="single" w:sz="4" w:space="0" w:color="9CC2E5"/>
            </w:tcBorders>
            <w:vAlign w:val="center"/>
          </w:tcPr>
          <w:p w14:paraId="37506D6E"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https://www.myjoyonline.com/cholera-outbreak-claims-two-lives-in-ada</w:t>
            </w:r>
          </w:p>
        </w:tc>
      </w:tr>
      <w:tr w:rsidR="0099599B" w14:paraId="7D1E366F" w14:textId="77777777" w:rsidTr="0099599B">
        <w:trPr>
          <w:trHeight w:val="134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6F977115" w14:textId="77777777" w:rsidR="0099599B" w:rsidRDefault="00EB7A3F">
            <w:pPr>
              <w:spacing w:after="0" w:line="360" w:lineRule="auto"/>
              <w:rPr>
                <w:rFonts w:ascii="Calibri" w:eastAsia="DengXian" w:hAnsi="Calibri" w:cs="Arial"/>
                <w:color w:val="FFFFFF"/>
              </w:rPr>
            </w:pPr>
            <w:r>
              <w:rPr>
                <w:rFonts w:ascii="Calibri" w:eastAsia="Calibri" w:hAnsi="Calibri" w:cs="Calibri"/>
                <w:color w:val="000000"/>
              </w:rPr>
              <w:t>Apr-</w:t>
            </w:r>
            <w:r>
              <w:rPr>
                <w:rFonts w:ascii="Calibri" w:eastAsia="Calibri" w:hAnsi="Calibri" w:cs="Calibri"/>
                <w:color w:val="000000"/>
              </w:rPr>
              <w:t>20</w:t>
            </w:r>
            <w:r>
              <w:rPr>
                <w:rFonts w:ascii="Calibri" w:eastAsia="Calibri" w:hAnsi="Calibri" w:cs="Calibri"/>
                <w:color w:val="000000"/>
              </w:rPr>
              <w:t>24</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FDA3528"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color w:val="000000"/>
              </w:rPr>
              <w:t xml:space="preserve"> Flood</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1360332"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 xml:space="preserve">Azizanya ,Kewunor,, Ayiboe in Ada East </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60254976"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Over 100 structures being submerged and properties destroyed</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1802BD5"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https://gna.org.gh/2024/04/river-waves-flood-three-communities-in-ada/</w:t>
            </w:r>
          </w:p>
        </w:tc>
      </w:tr>
      <w:tr w:rsidR="0099599B" w14:paraId="0A6A8AB7" w14:textId="77777777" w:rsidTr="0099599B">
        <w:trPr>
          <w:trHeight w:val="125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0B1B390A" w14:textId="77777777" w:rsidR="0099599B" w:rsidRDefault="00EB7A3F">
            <w:pPr>
              <w:spacing w:after="0" w:line="360" w:lineRule="auto"/>
              <w:rPr>
                <w:rFonts w:ascii="Calibri" w:eastAsia="DengXian" w:hAnsi="Calibri" w:cs="Arial"/>
                <w:color w:val="FFFFFF"/>
              </w:rPr>
            </w:pPr>
            <w:r>
              <w:rPr>
                <w:rFonts w:ascii="Calibri" w:eastAsia="Calibri" w:hAnsi="Calibri" w:cs="Calibri"/>
                <w:color w:val="000000"/>
              </w:rPr>
              <w:t>Jun-</w:t>
            </w:r>
            <w:r>
              <w:rPr>
                <w:rFonts w:ascii="Calibri" w:eastAsia="Calibri" w:hAnsi="Calibri" w:cs="Calibri"/>
                <w:color w:val="000000"/>
              </w:rPr>
              <w:t>20</w:t>
            </w:r>
            <w:r>
              <w:rPr>
                <w:rFonts w:ascii="Calibri" w:eastAsia="Calibri" w:hAnsi="Calibri" w:cs="Calibri"/>
                <w:color w:val="000000"/>
              </w:rPr>
              <w:t>15</w:t>
            </w:r>
          </w:p>
        </w:tc>
        <w:tc>
          <w:tcPr>
            <w:tcW w:w="1441" w:type="dxa"/>
            <w:tcBorders>
              <w:top w:val="single" w:sz="4" w:space="0" w:color="9CC2E5"/>
              <w:left w:val="single" w:sz="4" w:space="0" w:color="9CC2E5"/>
              <w:bottom w:val="single" w:sz="4" w:space="0" w:color="9CC2E5"/>
              <w:right w:val="single" w:sz="4" w:space="0" w:color="9CC2E5"/>
            </w:tcBorders>
            <w:vAlign w:val="center"/>
          </w:tcPr>
          <w:p w14:paraId="2E67D9B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Flood</w:t>
            </w:r>
          </w:p>
        </w:tc>
        <w:tc>
          <w:tcPr>
            <w:tcW w:w="1933" w:type="dxa"/>
            <w:tcBorders>
              <w:top w:val="single" w:sz="4" w:space="0" w:color="9CC2E5"/>
              <w:left w:val="single" w:sz="4" w:space="0" w:color="9CC2E5"/>
              <w:bottom w:val="single" w:sz="4" w:space="0" w:color="9CC2E5"/>
              <w:right w:val="single" w:sz="4" w:space="0" w:color="9CC2E5"/>
            </w:tcBorders>
            <w:vAlign w:val="center"/>
          </w:tcPr>
          <w:p w14:paraId="611864AC"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 xml:space="preserve">Some part of Greater Accra </w:t>
            </w:r>
            <w:r>
              <w:rPr>
                <w:rFonts w:ascii="Calibri" w:eastAsia="DengXian" w:hAnsi="Calibri" w:cs="Arial"/>
              </w:rPr>
              <w:lastRenderedPageBreak/>
              <w:t>Region with Ada East</w:t>
            </w:r>
          </w:p>
        </w:tc>
        <w:tc>
          <w:tcPr>
            <w:tcW w:w="2477" w:type="dxa"/>
            <w:tcBorders>
              <w:top w:val="single" w:sz="4" w:space="0" w:color="9CC2E5"/>
              <w:left w:val="single" w:sz="4" w:space="0" w:color="9CC2E5"/>
              <w:bottom w:val="single" w:sz="4" w:space="0" w:color="9CC2E5"/>
              <w:right w:val="single" w:sz="4" w:space="0" w:color="9CC2E5"/>
            </w:tcBorders>
            <w:vAlign w:val="center"/>
          </w:tcPr>
          <w:p w14:paraId="7FDB0BD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lastRenderedPageBreak/>
              <w:t xml:space="preserve">The floods resulted in the displacement of community </w:t>
            </w:r>
            <w:r>
              <w:rPr>
                <w:rFonts w:ascii="Calibri" w:eastAsia="DengXian" w:hAnsi="Calibri" w:cs="Arial"/>
              </w:rPr>
              <w:lastRenderedPageBreak/>
              <w:t>populations, loss of over 200 lives and loss of properties and livelihoods</w:t>
            </w:r>
          </w:p>
        </w:tc>
        <w:tc>
          <w:tcPr>
            <w:tcW w:w="3109" w:type="dxa"/>
            <w:tcBorders>
              <w:top w:val="single" w:sz="4" w:space="0" w:color="9CC2E5"/>
              <w:left w:val="single" w:sz="4" w:space="0" w:color="9CC2E5"/>
              <w:bottom w:val="single" w:sz="4" w:space="0" w:color="9CC2E5"/>
              <w:right w:val="single" w:sz="4" w:space="0" w:color="9CC2E5"/>
            </w:tcBorders>
            <w:vAlign w:val="center"/>
          </w:tcPr>
          <w:p w14:paraId="11627D38"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hyperlink r:id="rId22" w:history="1">
              <w:r>
                <w:rPr>
                  <w:rStyle w:val="Hyperlink"/>
                  <w:rFonts w:ascii="Calibri" w:eastAsia="DengXian" w:hAnsi="Calibri" w:cs="Arial"/>
                </w:rPr>
                <w:t>https://relief</w:t>
              </w:r>
            </w:hyperlink>
            <w:r>
              <w:rPr>
                <w:rFonts w:ascii="Calibri" w:eastAsia="DengXian" w:hAnsi="Calibri" w:cs="Arial"/>
              </w:rPr>
              <w:t xml:space="preserve"> web.int/report/ghana/ghana-</w:t>
            </w:r>
            <w:r>
              <w:rPr>
                <w:rFonts w:ascii="Calibri" w:eastAsia="DengXian" w:hAnsi="Calibri" w:cs="Arial"/>
              </w:rPr>
              <w:lastRenderedPageBreak/>
              <w:t>floods-emergency-plan-action-epoa-mdrgh011</w:t>
            </w:r>
          </w:p>
        </w:tc>
      </w:tr>
      <w:tr w:rsidR="0099599B" w14:paraId="74B43102" w14:textId="77777777" w:rsidTr="0099599B">
        <w:trPr>
          <w:trHeight w:val="1295"/>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345838E4" w14:textId="77777777" w:rsidR="0099599B" w:rsidRDefault="00EB7A3F">
            <w:pPr>
              <w:spacing w:after="0" w:line="360" w:lineRule="auto"/>
              <w:rPr>
                <w:rFonts w:ascii="Calibri" w:eastAsia="DengXian" w:hAnsi="Calibri" w:cs="Arial"/>
                <w:color w:val="FFFFFF"/>
              </w:rPr>
            </w:pPr>
            <w:r>
              <w:rPr>
                <w:rFonts w:ascii="Calibri" w:eastAsia="Calibri" w:hAnsi="Calibri" w:cs="Calibri"/>
                <w:color w:val="000000"/>
              </w:rPr>
              <w:lastRenderedPageBreak/>
              <w:t>Jan-</w:t>
            </w:r>
            <w:r>
              <w:rPr>
                <w:rFonts w:ascii="Calibri" w:eastAsia="Calibri" w:hAnsi="Calibri" w:cs="Calibri"/>
                <w:color w:val="000000"/>
              </w:rPr>
              <w:t>20</w:t>
            </w:r>
            <w:r>
              <w:rPr>
                <w:rFonts w:ascii="Calibri" w:eastAsia="Calibri" w:hAnsi="Calibri" w:cs="Calibri"/>
                <w:color w:val="000000"/>
              </w:rPr>
              <w:t>22</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378B5553"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Drought</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7552A77"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Ada East of the Greater Accra</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94B04D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It affected most food producers which also threaten food security</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6E05EF24"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https://www.businessghana.com/site/news/general/254201/Unpredictable-climatic-conditions-affect-crop-yield-at-Ada</w:t>
            </w:r>
          </w:p>
        </w:tc>
      </w:tr>
      <w:tr w:rsidR="0099599B" w14:paraId="111F957B" w14:textId="77777777" w:rsidTr="0099599B">
        <w:trPr>
          <w:trHeight w:val="1295"/>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3FC92086" w14:textId="77777777" w:rsidR="0099599B" w:rsidRDefault="00EB7A3F">
            <w:pPr>
              <w:spacing w:after="0" w:line="360" w:lineRule="auto"/>
              <w:rPr>
                <w:rFonts w:ascii="Calibri" w:eastAsia="DengXian" w:hAnsi="Calibri" w:cs="Arial"/>
                <w:color w:val="FFFFFF"/>
              </w:rPr>
            </w:pPr>
            <w:r>
              <w:rPr>
                <w:rFonts w:ascii="Calibri" w:eastAsia="Calibri" w:hAnsi="Calibri" w:cs="Calibri"/>
                <w:color w:val="000000"/>
              </w:rPr>
              <w:t>Apr-</w:t>
            </w:r>
            <w:r>
              <w:rPr>
                <w:rFonts w:ascii="Calibri" w:eastAsia="Calibri" w:hAnsi="Calibri" w:cs="Calibri"/>
                <w:color w:val="000000"/>
              </w:rPr>
              <w:t>20</w:t>
            </w:r>
            <w:r>
              <w:rPr>
                <w:rFonts w:ascii="Calibri" w:eastAsia="Calibri" w:hAnsi="Calibri" w:cs="Calibri"/>
                <w:color w:val="000000"/>
              </w:rPr>
              <w:t>24</w:t>
            </w:r>
          </w:p>
        </w:tc>
        <w:tc>
          <w:tcPr>
            <w:tcW w:w="1441" w:type="dxa"/>
            <w:tcBorders>
              <w:top w:val="single" w:sz="4" w:space="0" w:color="9CC2E5"/>
              <w:left w:val="single" w:sz="4" w:space="0" w:color="9CC2E5"/>
              <w:bottom w:val="single" w:sz="4" w:space="0" w:color="9CC2E5"/>
              <w:right w:val="single" w:sz="4" w:space="0" w:color="9CC2E5"/>
            </w:tcBorders>
            <w:vAlign w:val="center"/>
          </w:tcPr>
          <w:p w14:paraId="21F185D4"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Flood</w:t>
            </w:r>
          </w:p>
        </w:tc>
        <w:tc>
          <w:tcPr>
            <w:tcW w:w="1933" w:type="dxa"/>
            <w:tcBorders>
              <w:top w:val="single" w:sz="4" w:space="0" w:color="9CC2E5"/>
              <w:left w:val="single" w:sz="4" w:space="0" w:color="9CC2E5"/>
              <w:bottom w:val="single" w:sz="4" w:space="0" w:color="9CC2E5"/>
              <w:right w:val="single" w:sz="4" w:space="0" w:color="9CC2E5"/>
            </w:tcBorders>
            <w:vAlign w:val="center"/>
          </w:tcPr>
          <w:p w14:paraId="49A7E4F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color w:val="333333"/>
                <w:shd w:val="clear" w:color="auto" w:fill="FFFFFF"/>
              </w:rPr>
              <w:t> Dangme East District in Ada of the Greater Accra region</w:t>
            </w:r>
          </w:p>
        </w:tc>
        <w:tc>
          <w:tcPr>
            <w:tcW w:w="2477" w:type="dxa"/>
            <w:tcBorders>
              <w:top w:val="single" w:sz="4" w:space="0" w:color="9CC2E5"/>
              <w:left w:val="single" w:sz="4" w:space="0" w:color="9CC2E5"/>
              <w:bottom w:val="single" w:sz="4" w:space="0" w:color="9CC2E5"/>
              <w:right w:val="single" w:sz="4" w:space="0" w:color="9CC2E5"/>
            </w:tcBorders>
            <w:vAlign w:val="center"/>
          </w:tcPr>
          <w:p w14:paraId="4908A8FC"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The flood causes home and other properties destroyed</w:t>
            </w:r>
          </w:p>
        </w:tc>
        <w:tc>
          <w:tcPr>
            <w:tcW w:w="3109" w:type="dxa"/>
            <w:tcBorders>
              <w:top w:val="single" w:sz="4" w:space="0" w:color="9CC2E5"/>
              <w:left w:val="single" w:sz="4" w:space="0" w:color="9CC2E5"/>
              <w:bottom w:val="single" w:sz="4" w:space="0" w:color="9CC2E5"/>
              <w:right w:val="single" w:sz="4" w:space="0" w:color="9CC2E5"/>
            </w:tcBorders>
            <w:vAlign w:val="center"/>
          </w:tcPr>
          <w:p w14:paraId="6C4794A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https://citinewsroom.com/2024/04/homes-submerged-as-floodwaters-inundate-ada/</w:t>
            </w:r>
          </w:p>
        </w:tc>
      </w:tr>
      <w:tr w:rsidR="0099599B" w14:paraId="4D8B64E1"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3B64111" w14:textId="77777777" w:rsidR="0099599B" w:rsidRDefault="00EB7A3F">
            <w:pPr>
              <w:spacing w:after="0" w:line="360" w:lineRule="auto"/>
              <w:rPr>
                <w:rFonts w:ascii="Calibri" w:eastAsia="DengXian" w:hAnsi="Calibri" w:cs="Arial"/>
                <w:color w:val="FFFFFF"/>
              </w:rPr>
            </w:pPr>
            <w:r>
              <w:rPr>
                <w:rFonts w:ascii="Calibri" w:eastAsia="DengXian" w:hAnsi="Calibri" w:cs="Arial"/>
                <w:color w:val="000000" w:themeColor="text1"/>
              </w:rPr>
              <w:t>Oct-</w:t>
            </w:r>
            <w:r>
              <w:rPr>
                <w:rFonts w:ascii="Calibri" w:eastAsia="DengXian" w:hAnsi="Calibri" w:cs="Arial"/>
                <w:color w:val="000000" w:themeColor="text1"/>
              </w:rPr>
              <w:t>20</w:t>
            </w:r>
            <w:r>
              <w:rPr>
                <w:rFonts w:ascii="Calibri" w:eastAsia="DengXian" w:hAnsi="Calibri" w:cs="Arial"/>
                <w:color w:val="000000" w:themeColor="text1"/>
              </w:rPr>
              <w:t>23</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1EAD131"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Flood</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867F821"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Ada East Community</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37A6CDB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color w:val="2D2D2D"/>
              </w:rPr>
              <w:t>leading to the displacement of many families, the destruction of farmlands and a complete upheaval in the daily routines of these individuals.</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52F2AD8"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https://www.classfmonline.com/news/Dam-spillage-Queen-Mother-calls-for-help-for-affected-communities-at-Ada-46488</w:t>
            </w:r>
          </w:p>
        </w:tc>
      </w:tr>
      <w:tr w:rsidR="0099599B" w14:paraId="12FACE11"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77A9DF5B"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Oct-</w:t>
            </w:r>
            <w:r>
              <w:rPr>
                <w:rFonts w:ascii="Calibri" w:eastAsia="DengXian" w:hAnsi="Calibri" w:cs="Arial"/>
                <w:color w:val="000000" w:themeColor="text1"/>
              </w:rPr>
              <w:t>20</w:t>
            </w:r>
            <w:r>
              <w:rPr>
                <w:rFonts w:ascii="Calibri" w:eastAsia="DengXian" w:hAnsi="Calibri" w:cs="Arial"/>
                <w:color w:val="000000" w:themeColor="text1"/>
              </w:rPr>
              <w:t>24</w:t>
            </w:r>
          </w:p>
        </w:tc>
        <w:tc>
          <w:tcPr>
            <w:tcW w:w="1441" w:type="dxa"/>
            <w:tcBorders>
              <w:top w:val="single" w:sz="4" w:space="0" w:color="9CC2E5"/>
              <w:left w:val="single" w:sz="4" w:space="0" w:color="9CC2E5"/>
              <w:bottom w:val="single" w:sz="4" w:space="0" w:color="9CC2E5"/>
              <w:right w:val="single" w:sz="4" w:space="0" w:color="9CC2E5"/>
            </w:tcBorders>
            <w:vAlign w:val="center"/>
          </w:tcPr>
          <w:p w14:paraId="4AEA9B2C"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Disease Outbreak</w:t>
            </w:r>
          </w:p>
        </w:tc>
        <w:tc>
          <w:tcPr>
            <w:tcW w:w="1933" w:type="dxa"/>
            <w:tcBorders>
              <w:top w:val="single" w:sz="4" w:space="0" w:color="9CC2E5"/>
              <w:left w:val="single" w:sz="4" w:space="0" w:color="9CC2E5"/>
              <w:bottom w:val="single" w:sz="4" w:space="0" w:color="9CC2E5"/>
              <w:right w:val="single" w:sz="4" w:space="0" w:color="9CC2E5"/>
            </w:tcBorders>
            <w:vAlign w:val="center"/>
          </w:tcPr>
          <w:p w14:paraId="254FBD3B"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Kasseh – Ada of the Ada East</w:t>
            </w:r>
          </w:p>
        </w:tc>
        <w:tc>
          <w:tcPr>
            <w:tcW w:w="2477" w:type="dxa"/>
            <w:tcBorders>
              <w:top w:val="single" w:sz="4" w:space="0" w:color="9CC2E5"/>
              <w:left w:val="single" w:sz="4" w:space="0" w:color="9CC2E5"/>
              <w:bottom w:val="single" w:sz="4" w:space="0" w:color="9CC2E5"/>
              <w:right w:val="single" w:sz="4" w:space="0" w:color="9CC2E5"/>
            </w:tcBorders>
            <w:vAlign w:val="center"/>
          </w:tcPr>
          <w:p w14:paraId="7F1B3687"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color w:val="2D2D2D"/>
              </w:rPr>
              <w:t>43 persons have been confirmed to have cholera out of which 2 death were recorded.</w:t>
            </w:r>
          </w:p>
        </w:tc>
        <w:tc>
          <w:tcPr>
            <w:tcW w:w="3109" w:type="dxa"/>
            <w:tcBorders>
              <w:top w:val="single" w:sz="4" w:space="0" w:color="9CC2E5"/>
              <w:left w:val="single" w:sz="4" w:space="0" w:color="9CC2E5"/>
              <w:bottom w:val="single" w:sz="4" w:space="0" w:color="9CC2E5"/>
              <w:right w:val="single" w:sz="4" w:space="0" w:color="9CC2E5"/>
            </w:tcBorders>
            <w:vAlign w:val="center"/>
          </w:tcPr>
          <w:p w14:paraId="5207DEC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https://gna.org.gh/2024/10/cholera-outbreak-ada-residents-at-risk-as-disease-spreads/</w:t>
            </w:r>
          </w:p>
        </w:tc>
      </w:tr>
      <w:tr w:rsidR="0099599B" w14:paraId="414900D2"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3AC01E1E"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lastRenderedPageBreak/>
              <w:t>Apr-</w:t>
            </w:r>
            <w:r>
              <w:rPr>
                <w:rFonts w:ascii="Calibri" w:eastAsia="DengXian" w:hAnsi="Calibri" w:cs="Arial"/>
                <w:color w:val="000000" w:themeColor="text1"/>
              </w:rPr>
              <w:t>20</w:t>
            </w:r>
            <w:r>
              <w:rPr>
                <w:rFonts w:ascii="Calibri" w:eastAsia="DengXian" w:hAnsi="Calibri" w:cs="Arial"/>
                <w:color w:val="000000" w:themeColor="text1"/>
              </w:rPr>
              <w:t>22</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7504AB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Style w:val="Strong"/>
                <w:rFonts w:ascii="Calibri" w:eastAsia="Calibri" w:hAnsi="Calibri" w:cs="Arial"/>
              </w:rPr>
              <w:t>Tidal waves and coastal erosion</w:t>
            </w:r>
            <w:r>
              <w:rPr>
                <w:rFonts w:ascii="Calibri" w:eastAsia="Calibri" w:hAnsi="Calibri" w:cs="Arial"/>
              </w:rPr>
              <w:t>,</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5E4F95A3"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Ada East in the Greater Accra Region</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E2C86E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rPr>
              <w:t>Tidal waves have destroyed homes, leaving many residents homeless. Properties, including houses and farmlands, have been washed away, causing business losses and severe economic hardship for affected families.</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D40FD7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https://www.ghanabusinessnews.com/2022/04/15/uncompleted-sea-defence-wall-rendering-us-homeless-ada-east-residents/</w:t>
            </w:r>
          </w:p>
        </w:tc>
      </w:tr>
      <w:tr w:rsidR="0099599B" w14:paraId="4C8FDC95"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28B1477D"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Oct-</w:t>
            </w:r>
            <w:r>
              <w:rPr>
                <w:rFonts w:ascii="Calibri" w:eastAsia="DengXian" w:hAnsi="Calibri" w:cs="Arial"/>
                <w:color w:val="000000" w:themeColor="text1"/>
              </w:rPr>
              <w:t>20</w:t>
            </w:r>
            <w:r>
              <w:rPr>
                <w:rFonts w:ascii="Calibri" w:eastAsia="DengXian" w:hAnsi="Calibri" w:cs="Arial"/>
                <w:color w:val="000000" w:themeColor="text1"/>
              </w:rPr>
              <w:t>23</w:t>
            </w:r>
          </w:p>
        </w:tc>
        <w:tc>
          <w:tcPr>
            <w:tcW w:w="1441" w:type="dxa"/>
            <w:tcBorders>
              <w:top w:val="single" w:sz="4" w:space="0" w:color="9CC2E5"/>
              <w:left w:val="single" w:sz="4" w:space="0" w:color="9CC2E5"/>
              <w:bottom w:val="single" w:sz="4" w:space="0" w:color="9CC2E5"/>
              <w:right w:val="single" w:sz="4" w:space="0" w:color="9CC2E5"/>
            </w:tcBorders>
            <w:vAlign w:val="center"/>
          </w:tcPr>
          <w:p w14:paraId="34106007"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Flood</w:t>
            </w:r>
          </w:p>
        </w:tc>
        <w:tc>
          <w:tcPr>
            <w:tcW w:w="1933" w:type="dxa"/>
            <w:tcBorders>
              <w:top w:val="single" w:sz="4" w:space="0" w:color="9CC2E5"/>
              <w:left w:val="single" w:sz="4" w:space="0" w:color="9CC2E5"/>
              <w:bottom w:val="single" w:sz="4" w:space="0" w:color="9CC2E5"/>
              <w:right w:val="single" w:sz="4" w:space="0" w:color="9CC2E5"/>
            </w:tcBorders>
            <w:vAlign w:val="center"/>
          </w:tcPr>
          <w:p w14:paraId="7340A94F"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Ada East</w:t>
            </w:r>
          </w:p>
        </w:tc>
        <w:tc>
          <w:tcPr>
            <w:tcW w:w="2477" w:type="dxa"/>
            <w:tcBorders>
              <w:top w:val="single" w:sz="4" w:space="0" w:color="9CC2E5"/>
              <w:left w:val="single" w:sz="4" w:space="0" w:color="9CC2E5"/>
              <w:bottom w:val="single" w:sz="4" w:space="0" w:color="9CC2E5"/>
              <w:right w:val="single" w:sz="4" w:space="0" w:color="9CC2E5"/>
            </w:tcBorders>
            <w:vAlign w:val="center"/>
          </w:tcPr>
          <w:p w14:paraId="12AC2174" w14:textId="77777777" w:rsidR="0099599B" w:rsidRDefault="00EB7A3F">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kern w:val="0"/>
                <w:lang w:eastAsia="en-GB"/>
              </w:rPr>
            </w:pPr>
            <w:r>
              <w:rPr>
                <w:rFonts w:ascii="Calibri" w:eastAsia="Times New Roman" w:hAnsi="Calibri" w:cs="Arial"/>
                <w:kern w:val="0"/>
                <w:lang w:eastAsia="en-GB"/>
              </w:rPr>
              <w:t xml:space="preserve"> Approximately 5,685 individuals and 1,135 households affected across 28 communities; displacement of residents; destruction of farms; damage to schools and health facilities.</w:t>
            </w:r>
          </w:p>
        </w:tc>
        <w:tc>
          <w:tcPr>
            <w:tcW w:w="3109" w:type="dxa"/>
            <w:tcBorders>
              <w:top w:val="single" w:sz="4" w:space="0" w:color="9CC2E5"/>
              <w:left w:val="single" w:sz="4" w:space="0" w:color="9CC2E5"/>
              <w:bottom w:val="single" w:sz="4" w:space="0" w:color="9CC2E5"/>
              <w:right w:val="single" w:sz="4" w:space="0" w:color="9CC2E5"/>
            </w:tcBorders>
            <w:vAlign w:val="center"/>
          </w:tcPr>
          <w:p w14:paraId="708C2C64"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https://www.myjoyonline.com/about-5685-people-were-affected-by-akosombo-dam-spillage-in-ada-nadmo/</w:t>
            </w:r>
          </w:p>
        </w:tc>
      </w:tr>
      <w:tr w:rsidR="0099599B" w14:paraId="33C42BA2"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460E1B77"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Jun-</w:t>
            </w:r>
            <w:r>
              <w:rPr>
                <w:rFonts w:ascii="Calibri" w:eastAsia="DengXian" w:hAnsi="Calibri" w:cs="Arial"/>
                <w:color w:val="000000" w:themeColor="text1"/>
              </w:rPr>
              <w:t>20</w:t>
            </w:r>
            <w:r>
              <w:rPr>
                <w:rFonts w:ascii="Calibri" w:eastAsia="DengXian" w:hAnsi="Calibri" w:cs="Arial"/>
                <w:color w:val="000000" w:themeColor="text1"/>
              </w:rPr>
              <w:t>24</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6408E2E"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rPr>
              <w:t>Mangrove Depletion</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59B4E6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rPr>
              <w:t>Ada East District</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21BC181" w14:textId="77777777" w:rsidR="0099599B" w:rsidRDefault="00EB7A3F">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kern w:val="0"/>
                <w:lang w:eastAsia="en-GB"/>
              </w:rPr>
            </w:pPr>
            <w:r>
              <w:rPr>
                <w:rFonts w:ascii="Calibri" w:eastAsia="Times New Roman" w:hAnsi="Calibri" w:cs="Arial"/>
                <w:kern w:val="0"/>
                <w:lang w:eastAsia="en-GB"/>
              </w:rPr>
              <w:t xml:space="preserve"> Significant decline of mangrove forests due to urbanization, over exploitation, pollution, wildfires and climate change; loss of coastal </w:t>
            </w:r>
            <w:r>
              <w:rPr>
                <w:rFonts w:ascii="Calibri" w:eastAsia="Times New Roman" w:hAnsi="Calibri" w:cs="Arial"/>
                <w:kern w:val="0"/>
                <w:lang w:eastAsia="en-GB"/>
              </w:rPr>
              <w:lastRenderedPageBreak/>
              <w:t>protection and biodiversity.</w:t>
            </w:r>
          </w:p>
          <w:p w14:paraId="7DDB1D8B" w14:textId="77777777" w:rsidR="0099599B" w:rsidRDefault="0099599B">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5A0959B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lastRenderedPageBreak/>
              <w:t>https://www.ghanaweb.com/GhanaHomePage/NewsArchive/Green-Ghana-Day-NGO-partners-move-to-restore-depleted-mangroves-in-Ada</w:t>
            </w:r>
          </w:p>
        </w:tc>
      </w:tr>
      <w:tr w:rsidR="0099599B" w14:paraId="2FD77CBD"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07CAB162"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Mar-</w:t>
            </w:r>
            <w:r>
              <w:rPr>
                <w:rFonts w:ascii="Calibri" w:eastAsia="DengXian" w:hAnsi="Calibri" w:cs="Arial"/>
                <w:color w:val="000000" w:themeColor="text1"/>
              </w:rPr>
              <w:t>20</w:t>
            </w:r>
            <w:r>
              <w:rPr>
                <w:rFonts w:ascii="Calibri" w:eastAsia="DengXian" w:hAnsi="Calibri" w:cs="Arial"/>
                <w:color w:val="000000" w:themeColor="text1"/>
              </w:rPr>
              <w:t>23</w:t>
            </w:r>
          </w:p>
        </w:tc>
        <w:tc>
          <w:tcPr>
            <w:tcW w:w="1441" w:type="dxa"/>
            <w:tcBorders>
              <w:top w:val="single" w:sz="4" w:space="0" w:color="9CC2E5"/>
              <w:left w:val="single" w:sz="4" w:space="0" w:color="9CC2E5"/>
              <w:bottom w:val="single" w:sz="4" w:space="0" w:color="9CC2E5"/>
              <w:right w:val="single" w:sz="4" w:space="0" w:color="9CC2E5"/>
            </w:tcBorders>
            <w:vAlign w:val="center"/>
          </w:tcPr>
          <w:p w14:paraId="0603B3A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Boat Disaster</w:t>
            </w:r>
          </w:p>
        </w:tc>
        <w:tc>
          <w:tcPr>
            <w:tcW w:w="1933" w:type="dxa"/>
            <w:tcBorders>
              <w:top w:val="single" w:sz="4" w:space="0" w:color="9CC2E5"/>
              <w:left w:val="single" w:sz="4" w:space="0" w:color="9CC2E5"/>
              <w:bottom w:val="single" w:sz="4" w:space="0" w:color="9CC2E5"/>
              <w:right w:val="single" w:sz="4" w:space="0" w:color="9CC2E5"/>
            </w:tcBorders>
            <w:vAlign w:val="center"/>
          </w:tcPr>
          <w:p w14:paraId="5710BABB"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Calibri" w:hAnsi="Calibri" w:cs="Arial"/>
              </w:rPr>
              <w:t>Azizakpe, Ada East District</w:t>
            </w:r>
          </w:p>
        </w:tc>
        <w:tc>
          <w:tcPr>
            <w:tcW w:w="2477" w:type="dxa"/>
            <w:tcBorders>
              <w:top w:val="single" w:sz="4" w:space="0" w:color="9CC2E5"/>
              <w:left w:val="single" w:sz="4" w:space="0" w:color="9CC2E5"/>
              <w:bottom w:val="single" w:sz="4" w:space="0" w:color="9CC2E5"/>
              <w:right w:val="single" w:sz="4" w:space="0" w:color="9CC2E5"/>
            </w:tcBorders>
            <w:vAlign w:val="center"/>
          </w:tcPr>
          <w:p w14:paraId="37D86B54"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rPr>
              <w:t>passengers were traveling to Azizakpe for a funeral when their boat capsized due to strong winds; none were wearing life jackets and the boat was allegedly overloaded.</w:t>
            </w:r>
          </w:p>
        </w:tc>
        <w:tc>
          <w:tcPr>
            <w:tcW w:w="3109" w:type="dxa"/>
            <w:tcBorders>
              <w:top w:val="single" w:sz="4" w:space="0" w:color="9CC2E5"/>
              <w:left w:val="single" w:sz="4" w:space="0" w:color="9CC2E5"/>
              <w:bottom w:val="single" w:sz="4" w:space="0" w:color="9CC2E5"/>
              <w:right w:val="single" w:sz="4" w:space="0" w:color="9CC2E5"/>
            </w:tcBorders>
            <w:vAlign w:val="center"/>
          </w:tcPr>
          <w:p w14:paraId="049A55BA"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https://www.graphic.com.gh/news/general-news/ada-boat-disaster.html</w:t>
            </w:r>
          </w:p>
        </w:tc>
      </w:tr>
      <w:tr w:rsidR="0099599B" w14:paraId="09167F8A"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8D93307"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Feb-</w:t>
            </w:r>
            <w:r>
              <w:rPr>
                <w:rFonts w:ascii="Calibri" w:eastAsia="DengXian" w:hAnsi="Calibri" w:cs="Arial"/>
                <w:color w:val="000000" w:themeColor="text1"/>
              </w:rPr>
              <w:t>20</w:t>
            </w:r>
            <w:r>
              <w:rPr>
                <w:rFonts w:ascii="Calibri" w:eastAsia="DengXian" w:hAnsi="Calibri" w:cs="Arial"/>
                <w:color w:val="000000" w:themeColor="text1"/>
              </w:rPr>
              <w:t>22</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3F87819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Cosatal Erosion</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4C84376E"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333333"/>
                <w:shd w:val="clear" w:color="auto" w:fill="FFFFFF"/>
              </w:rPr>
            </w:pPr>
            <w:r>
              <w:rPr>
                <w:rFonts w:ascii="Calibri" w:eastAsia="DengXian" w:hAnsi="Calibri" w:cs="Arial"/>
              </w:rPr>
              <w:t>Agorkedzi in Ada East</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74F572C"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Style w:val="relative"/>
                <w:rFonts w:ascii="Calibri" w:eastAsia="Calibri" w:hAnsi="Calibri" w:cs="Arial"/>
              </w:rPr>
              <w:t>Displacement of residents, destruction of property and appeals for government intervention to build sea defenses</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09CFEF28"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https://lensational.org/photo-stories/home-is-now-far-away-the-disappearing-coast-of-agorkedzi/</w:t>
            </w:r>
          </w:p>
        </w:tc>
      </w:tr>
      <w:tr w:rsidR="0099599B" w14:paraId="627D440E"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3F2798D7"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Jun-</w:t>
            </w:r>
            <w:r>
              <w:rPr>
                <w:rFonts w:ascii="Calibri" w:eastAsia="DengXian" w:hAnsi="Calibri" w:cs="Arial"/>
                <w:color w:val="000000" w:themeColor="text1"/>
              </w:rPr>
              <w:t>20</w:t>
            </w:r>
            <w:r>
              <w:rPr>
                <w:rFonts w:ascii="Calibri" w:eastAsia="DengXian" w:hAnsi="Calibri" w:cs="Arial"/>
                <w:color w:val="000000" w:themeColor="text1"/>
              </w:rPr>
              <w:t>18</w:t>
            </w:r>
          </w:p>
        </w:tc>
        <w:tc>
          <w:tcPr>
            <w:tcW w:w="1441" w:type="dxa"/>
            <w:tcBorders>
              <w:top w:val="single" w:sz="4" w:space="0" w:color="9CC2E5"/>
              <w:left w:val="single" w:sz="4" w:space="0" w:color="9CC2E5"/>
              <w:bottom w:val="single" w:sz="4" w:space="0" w:color="9CC2E5"/>
              <w:right w:val="single" w:sz="4" w:space="0" w:color="9CC2E5"/>
            </w:tcBorders>
            <w:vAlign w:val="center"/>
          </w:tcPr>
          <w:p w14:paraId="6D1F436C"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Coastal Erosin</w:t>
            </w:r>
          </w:p>
        </w:tc>
        <w:tc>
          <w:tcPr>
            <w:tcW w:w="1933" w:type="dxa"/>
            <w:tcBorders>
              <w:top w:val="single" w:sz="4" w:space="0" w:color="9CC2E5"/>
              <w:left w:val="single" w:sz="4" w:space="0" w:color="9CC2E5"/>
              <w:bottom w:val="single" w:sz="4" w:space="0" w:color="9CC2E5"/>
              <w:right w:val="single" w:sz="4" w:space="0" w:color="9CC2E5"/>
            </w:tcBorders>
            <w:vAlign w:val="center"/>
          </w:tcPr>
          <w:p w14:paraId="636A85D6"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color w:val="2D2D2D"/>
              </w:rPr>
              <w:t>Ada Foah</w:t>
            </w:r>
          </w:p>
        </w:tc>
        <w:tc>
          <w:tcPr>
            <w:tcW w:w="2477" w:type="dxa"/>
            <w:tcBorders>
              <w:top w:val="single" w:sz="4" w:space="0" w:color="9CC2E5"/>
              <w:left w:val="single" w:sz="4" w:space="0" w:color="9CC2E5"/>
              <w:bottom w:val="single" w:sz="4" w:space="0" w:color="9CC2E5"/>
              <w:right w:val="single" w:sz="4" w:space="0" w:color="9CC2E5"/>
            </w:tcBorders>
            <w:vAlign w:val="center"/>
          </w:tcPr>
          <w:p w14:paraId="089D497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rPr>
              <w:t>Risk of the church being destroyed by the encroaching sea.</w:t>
            </w:r>
          </w:p>
        </w:tc>
        <w:tc>
          <w:tcPr>
            <w:tcW w:w="3109" w:type="dxa"/>
            <w:tcBorders>
              <w:top w:val="single" w:sz="4" w:space="0" w:color="9CC2E5"/>
              <w:left w:val="single" w:sz="4" w:space="0" w:color="9CC2E5"/>
              <w:bottom w:val="single" w:sz="4" w:space="0" w:color="9CC2E5"/>
              <w:right w:val="single" w:sz="4" w:space="0" w:color="9CC2E5"/>
            </w:tcBorders>
            <w:vAlign w:val="center"/>
          </w:tcPr>
          <w:p w14:paraId="15185B8F"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https://noahdamehblog.wordpress.com/2018/10/06/the-bethel-presbyterian-church-at-ada-foah-stands-at-a-risk/</w:t>
            </w:r>
          </w:p>
        </w:tc>
      </w:tr>
      <w:tr w:rsidR="0099599B" w14:paraId="00950B4E"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AA8B562"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Dec-</w:t>
            </w:r>
            <w:r>
              <w:rPr>
                <w:rFonts w:ascii="Calibri" w:eastAsia="DengXian" w:hAnsi="Calibri" w:cs="Arial"/>
                <w:color w:val="000000" w:themeColor="text1"/>
              </w:rPr>
              <w:t>20</w:t>
            </w:r>
            <w:r>
              <w:rPr>
                <w:rFonts w:ascii="Calibri" w:eastAsia="DengXian" w:hAnsi="Calibri" w:cs="Arial"/>
                <w:color w:val="000000" w:themeColor="text1"/>
              </w:rPr>
              <w:t>23</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35436AD0"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Flooding</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76656AED"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color w:val="2D2D2D"/>
              </w:rPr>
              <w:t xml:space="preserve">Ada East, Central Tongu, North </w:t>
            </w:r>
            <w:r>
              <w:rPr>
                <w:rFonts w:ascii="Calibri" w:eastAsia="Calibri" w:hAnsi="Calibri" w:cs="Arial"/>
                <w:color w:val="2D2D2D"/>
              </w:rPr>
              <w:lastRenderedPageBreak/>
              <w:t>Tongu,Shai ,Osuduku</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BC3FD3C"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rPr>
              <w:lastRenderedPageBreak/>
              <w:t>Destroying homes and farmlands along the banks of the river Volta</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8D6B972"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https://dtm.iom.int/node/32451</w:t>
            </w:r>
          </w:p>
        </w:tc>
      </w:tr>
      <w:tr w:rsidR="0099599B" w14:paraId="6B87B9D9"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70DF6E59"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Mar-</w:t>
            </w:r>
            <w:r>
              <w:rPr>
                <w:rFonts w:ascii="Calibri" w:eastAsia="DengXian" w:hAnsi="Calibri" w:cs="Arial"/>
                <w:color w:val="000000" w:themeColor="text1"/>
              </w:rPr>
              <w:t>20</w:t>
            </w:r>
            <w:r>
              <w:rPr>
                <w:rFonts w:ascii="Calibri" w:eastAsia="DengXian" w:hAnsi="Calibri" w:cs="Arial"/>
                <w:color w:val="000000" w:themeColor="text1"/>
              </w:rPr>
              <w:t>25</w:t>
            </w:r>
          </w:p>
        </w:tc>
        <w:tc>
          <w:tcPr>
            <w:tcW w:w="1441" w:type="dxa"/>
            <w:tcBorders>
              <w:top w:val="single" w:sz="4" w:space="0" w:color="9CC2E5"/>
              <w:left w:val="single" w:sz="4" w:space="0" w:color="9CC2E5"/>
              <w:bottom w:val="single" w:sz="4" w:space="0" w:color="9CC2E5"/>
              <w:right w:val="single" w:sz="4" w:space="0" w:color="9CC2E5"/>
            </w:tcBorders>
            <w:vAlign w:val="center"/>
          </w:tcPr>
          <w:p w14:paraId="46994352"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Disease Outbreak</w:t>
            </w:r>
          </w:p>
        </w:tc>
        <w:tc>
          <w:tcPr>
            <w:tcW w:w="1933" w:type="dxa"/>
            <w:tcBorders>
              <w:top w:val="single" w:sz="4" w:space="0" w:color="9CC2E5"/>
              <w:left w:val="single" w:sz="4" w:space="0" w:color="9CC2E5"/>
              <w:bottom w:val="single" w:sz="4" w:space="0" w:color="9CC2E5"/>
              <w:right w:val="single" w:sz="4" w:space="0" w:color="9CC2E5"/>
            </w:tcBorders>
            <w:vAlign w:val="center"/>
          </w:tcPr>
          <w:p w14:paraId="00B870E4"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Fonts w:ascii="Calibri" w:eastAsia="Calibri" w:hAnsi="Calibri" w:cs="Arial"/>
                <w:color w:val="2D2D2D"/>
              </w:rPr>
              <w:t>Ada District of the Greater Accra Region</w:t>
            </w:r>
          </w:p>
        </w:tc>
        <w:tc>
          <w:tcPr>
            <w:tcW w:w="2477" w:type="dxa"/>
            <w:tcBorders>
              <w:top w:val="single" w:sz="4" w:space="0" w:color="9CC2E5"/>
              <w:left w:val="single" w:sz="4" w:space="0" w:color="9CC2E5"/>
              <w:bottom w:val="single" w:sz="4" w:space="0" w:color="9CC2E5"/>
              <w:right w:val="single" w:sz="4" w:space="0" w:color="9CC2E5"/>
            </w:tcBorders>
            <w:vAlign w:val="center"/>
          </w:tcPr>
          <w:p w14:paraId="3ECF94F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color w:val="000000"/>
              </w:rPr>
              <w:t>there were 1,726 suspected cases in 32 districts, of which 131 have been confirmed and 16 deaths have been reported. Most cases are concentrated in the Greater Accra region, with 68 confirmed cases.</w:t>
            </w:r>
          </w:p>
        </w:tc>
        <w:tc>
          <w:tcPr>
            <w:tcW w:w="3109" w:type="dxa"/>
            <w:tcBorders>
              <w:top w:val="single" w:sz="4" w:space="0" w:color="9CC2E5"/>
              <w:left w:val="single" w:sz="4" w:space="0" w:color="9CC2E5"/>
              <w:bottom w:val="single" w:sz="4" w:space="0" w:color="9CC2E5"/>
              <w:right w:val="single" w:sz="4" w:space="0" w:color="9CC2E5"/>
            </w:tcBorders>
            <w:vAlign w:val="center"/>
          </w:tcPr>
          <w:p w14:paraId="3C92EC80"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https://ghana.un.org/en/290662-ghana-%E2%80%94-population-mobility-mapping-rapid-cholera-response-february-2025</w:t>
            </w:r>
          </w:p>
        </w:tc>
      </w:tr>
      <w:tr w:rsidR="0099599B" w14:paraId="0EB77DDC"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50F1A162"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Jan-</w:t>
            </w:r>
            <w:r>
              <w:rPr>
                <w:rFonts w:ascii="Calibri" w:eastAsia="DengXian" w:hAnsi="Calibri" w:cs="Arial"/>
                <w:color w:val="000000" w:themeColor="text1"/>
              </w:rPr>
              <w:t>20</w:t>
            </w:r>
            <w:r>
              <w:rPr>
                <w:rFonts w:ascii="Calibri" w:eastAsia="DengXian" w:hAnsi="Calibri" w:cs="Arial"/>
                <w:color w:val="000000" w:themeColor="text1"/>
              </w:rPr>
              <w:t>22</w:t>
            </w:r>
          </w:p>
        </w:tc>
        <w:tc>
          <w:tcPr>
            <w:tcW w:w="1441"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60C907A3"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Flood</w:t>
            </w:r>
          </w:p>
        </w:tc>
        <w:tc>
          <w:tcPr>
            <w:tcW w:w="1933"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B36ECA8"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2D2D2D"/>
              </w:rPr>
            </w:pPr>
            <w:r>
              <w:rPr>
                <w:rStyle w:val="relative"/>
                <w:rFonts w:ascii="Calibri" w:eastAsia="Calibri" w:hAnsi="Calibri" w:cs="Arial"/>
              </w:rPr>
              <w:t>Azizakpey is situated on an island surrounded by the Volta River in the Ada East District of the Greater Accra Region</w:t>
            </w:r>
            <w:r>
              <w:rPr>
                <w:rFonts w:ascii="Calibri" w:eastAsia="Calibri" w:hAnsi="Calibri" w:cs="Arial"/>
                <w:color w:val="2D2D2D"/>
              </w:rPr>
              <w:t xml:space="preserve"> </w:t>
            </w:r>
          </w:p>
        </w:tc>
        <w:tc>
          <w:tcPr>
            <w:tcW w:w="2477"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2521A6D9"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rPr>
            </w:pPr>
            <w:r>
              <w:rPr>
                <w:rFonts w:ascii="Calibri" w:eastAsia="Calibri" w:hAnsi="Calibri" w:cs="Arial"/>
              </w:rPr>
              <w:t>Floodwaters have damaged or destroyed numerous houses, forcing residents to salvage materials like aluminum roofing sheets to rebuild</w:t>
            </w:r>
          </w:p>
        </w:tc>
        <w:tc>
          <w:tcPr>
            <w:tcW w:w="3109" w:type="dxa"/>
            <w:tcBorders>
              <w:top w:val="single" w:sz="4" w:space="0" w:color="9CC2E5"/>
              <w:left w:val="single" w:sz="4" w:space="0" w:color="9CC2E5"/>
              <w:bottom w:val="single" w:sz="4" w:space="0" w:color="9CC2E5"/>
              <w:right w:val="single" w:sz="4" w:space="0" w:color="9CC2E5"/>
            </w:tcBorders>
            <w:shd w:val="clear" w:color="auto" w:fill="DEEAF6"/>
            <w:vAlign w:val="center"/>
          </w:tcPr>
          <w:p w14:paraId="170AA70E"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https://lensational.org/photo-stories/waking-up-to-water-in-azizakpey/</w:t>
            </w:r>
          </w:p>
        </w:tc>
      </w:tr>
      <w:tr w:rsidR="0099599B" w14:paraId="6D81C248" w14:textId="77777777" w:rsidTr="0099599B">
        <w:trPr>
          <w:trHeight w:val="800"/>
        </w:trPr>
        <w:tc>
          <w:tcPr>
            <w:cnfStyle w:val="001000000000" w:firstRow="0" w:lastRow="0" w:firstColumn="1" w:lastColumn="0" w:oddVBand="0" w:evenVBand="0" w:oddHBand="0" w:evenHBand="0" w:firstRowFirstColumn="0" w:firstRowLastColumn="0" w:lastRowFirstColumn="0" w:lastRowLastColumn="0"/>
            <w:tcW w:w="1013" w:type="dxa"/>
            <w:tcBorders>
              <w:top w:val="single" w:sz="4" w:space="0" w:color="9CC2E5"/>
              <w:left w:val="single" w:sz="4" w:space="0" w:color="9CC2E5"/>
              <w:bottom w:val="single" w:sz="4" w:space="0" w:color="9CC2E5"/>
              <w:right w:val="single" w:sz="4" w:space="0" w:color="9CC2E5"/>
            </w:tcBorders>
            <w:vAlign w:val="center"/>
          </w:tcPr>
          <w:p w14:paraId="3064161F" w14:textId="77777777" w:rsidR="0099599B" w:rsidRDefault="00EB7A3F">
            <w:pPr>
              <w:spacing w:after="0" w:line="360" w:lineRule="auto"/>
              <w:rPr>
                <w:rFonts w:ascii="Calibri" w:eastAsia="DengXian" w:hAnsi="Calibri" w:cs="Arial"/>
                <w:color w:val="000000" w:themeColor="text1"/>
              </w:rPr>
            </w:pPr>
            <w:r>
              <w:rPr>
                <w:rFonts w:ascii="Calibri" w:eastAsia="DengXian" w:hAnsi="Calibri" w:cs="Arial"/>
                <w:color w:val="000000" w:themeColor="text1"/>
              </w:rPr>
              <w:t>Oct-</w:t>
            </w:r>
            <w:r>
              <w:rPr>
                <w:rFonts w:ascii="Calibri" w:eastAsia="DengXian" w:hAnsi="Calibri" w:cs="Arial"/>
                <w:color w:val="000000" w:themeColor="text1"/>
              </w:rPr>
              <w:t>20</w:t>
            </w:r>
            <w:r>
              <w:rPr>
                <w:rFonts w:ascii="Calibri" w:eastAsia="DengXian" w:hAnsi="Calibri" w:cs="Arial"/>
                <w:color w:val="000000" w:themeColor="text1"/>
              </w:rPr>
              <w:t>23</w:t>
            </w:r>
          </w:p>
        </w:tc>
        <w:tc>
          <w:tcPr>
            <w:tcW w:w="1441" w:type="dxa"/>
            <w:tcBorders>
              <w:top w:val="single" w:sz="4" w:space="0" w:color="9CC2E5"/>
              <w:left w:val="single" w:sz="4" w:space="0" w:color="9CC2E5"/>
              <w:bottom w:val="single" w:sz="4" w:space="0" w:color="9CC2E5"/>
              <w:right w:val="single" w:sz="4" w:space="0" w:color="9CC2E5"/>
            </w:tcBorders>
            <w:vAlign w:val="center"/>
          </w:tcPr>
          <w:p w14:paraId="0AB17BC1"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Aggressive Sea - Waves</w:t>
            </w:r>
          </w:p>
        </w:tc>
        <w:tc>
          <w:tcPr>
            <w:tcW w:w="1933" w:type="dxa"/>
            <w:tcBorders>
              <w:top w:val="single" w:sz="4" w:space="0" w:color="9CC2E5"/>
              <w:left w:val="single" w:sz="4" w:space="0" w:color="9CC2E5"/>
              <w:bottom w:val="single" w:sz="4" w:space="0" w:color="9CC2E5"/>
              <w:right w:val="single" w:sz="4" w:space="0" w:color="9CC2E5"/>
            </w:tcBorders>
            <w:vAlign w:val="center"/>
          </w:tcPr>
          <w:p w14:paraId="55E56272"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Style w:val="relative"/>
                <w:rFonts w:ascii="Calibri" w:eastAsia="Calibri" w:hAnsi="Calibri" w:cs="Arial"/>
              </w:rPr>
            </w:pPr>
            <w:r>
              <w:rPr>
                <w:rStyle w:val="relative"/>
                <w:rFonts w:ascii="Calibri" w:eastAsia="Calibri" w:hAnsi="Calibri" w:cs="Arial"/>
              </w:rPr>
              <w:t>Ada and Keta in Ghana</w:t>
            </w:r>
          </w:p>
        </w:tc>
        <w:tc>
          <w:tcPr>
            <w:tcW w:w="2477" w:type="dxa"/>
            <w:tcBorders>
              <w:top w:val="single" w:sz="4" w:space="0" w:color="9CC2E5"/>
              <w:left w:val="single" w:sz="4" w:space="0" w:color="9CC2E5"/>
              <w:bottom w:val="single" w:sz="4" w:space="0" w:color="9CC2E5"/>
              <w:right w:val="single" w:sz="4" w:space="0" w:color="9CC2E5"/>
            </w:tcBorders>
            <w:vAlign w:val="center"/>
          </w:tcPr>
          <w:p w14:paraId="5BFE8641"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rPr>
            </w:pPr>
            <w:r>
              <w:rPr>
                <w:rFonts w:ascii="Calibri" w:eastAsia="Calibri" w:hAnsi="Calibri" w:cs="Arial"/>
                <w:color w:val="282828"/>
                <w:shd w:val="clear" w:color="auto" w:fill="FFFFFF"/>
              </w:rPr>
              <w:t>disrupting ecosystems worldwide due to negative human activities resulting in heat waves</w:t>
            </w:r>
          </w:p>
        </w:tc>
        <w:tc>
          <w:tcPr>
            <w:tcW w:w="3109" w:type="dxa"/>
            <w:tcBorders>
              <w:top w:val="single" w:sz="4" w:space="0" w:color="9CC2E5"/>
              <w:left w:val="single" w:sz="4" w:space="0" w:color="9CC2E5"/>
              <w:bottom w:val="single" w:sz="4" w:space="0" w:color="9CC2E5"/>
              <w:right w:val="single" w:sz="4" w:space="0" w:color="9CC2E5"/>
            </w:tcBorders>
            <w:vAlign w:val="center"/>
          </w:tcPr>
          <w:p w14:paraId="4E715975" w14:textId="77777777" w:rsidR="0099599B" w:rsidRDefault="00EB7A3F">
            <w:pPr>
              <w:spacing w:after="0" w:line="360" w:lineRule="auto"/>
              <w:cnfStyle w:val="000000000000" w:firstRow="0" w:lastRow="0" w:firstColumn="0" w:lastColumn="0" w:oddVBand="0" w:evenVBand="0" w:oddHBand="0" w:evenHBand="0" w:firstRowFirstColumn="0" w:firstRowLastColumn="0" w:lastRowFirstColumn="0" w:lastRowLastColumn="0"/>
              <w:rPr>
                <w:rFonts w:ascii="Calibri" w:eastAsia="DengXian" w:hAnsi="Calibri" w:cs="Arial"/>
              </w:rPr>
            </w:pPr>
            <w:r>
              <w:rPr>
                <w:rFonts w:ascii="Calibri" w:eastAsia="DengXian" w:hAnsi="Calibri" w:cs="Arial"/>
              </w:rPr>
              <w:t>https://thefourthestategh.com/2023/10/climate-change-beware-sea-washing-away-keta-ada-lets-explore-what-we-can-do/</w:t>
            </w:r>
          </w:p>
        </w:tc>
      </w:tr>
      <w:bookmarkEnd w:id="35"/>
    </w:tbl>
    <w:p w14:paraId="260729C3" w14:textId="77777777" w:rsidR="0099599B" w:rsidRDefault="0099599B"/>
    <w:p w14:paraId="7BD9DD00" w14:textId="77777777" w:rsidR="0099599B" w:rsidRDefault="00EB7A3F">
      <w:pPr>
        <w:pStyle w:val="Heading3"/>
        <w:spacing w:line="360" w:lineRule="auto"/>
      </w:pPr>
      <w:r>
        <w:lastRenderedPageBreak/>
        <w:t>3.2.2 Assessment of Drivers of Vulnerability in the District</w:t>
      </w:r>
    </w:p>
    <w:p w14:paraId="70004DEC" w14:textId="77777777" w:rsidR="0099599B" w:rsidRDefault="00EB7A3F">
      <w:pPr>
        <w:spacing w:line="360" w:lineRule="auto"/>
        <w:jc w:val="both"/>
      </w:pPr>
      <w:r>
        <w:t>The Stakeholder workshop formed groups based on participants experience (working and lived). The groups were tasked to map out physical/resource, identify hazard risk areas and present the main climate hazards and their impacts in the district, how people in the district currently adapt with the impacts of the specific hazards identified and the perceived effectiveness of the adaptation strategies</w:t>
      </w:r>
    </w:p>
    <w:p w14:paraId="56BA3990" w14:textId="77777777" w:rsidR="0099599B" w:rsidRDefault="0099599B">
      <w:pPr>
        <w:spacing w:line="360" w:lineRule="auto"/>
      </w:pPr>
    </w:p>
    <w:p w14:paraId="413F39A1" w14:textId="77777777" w:rsidR="0099599B" w:rsidRDefault="00EB7A3F">
      <w:pPr>
        <w:pStyle w:val="Heading3"/>
        <w:spacing w:line="360" w:lineRule="auto"/>
      </w:pPr>
      <w:r>
        <w:t>3.2.3 Assessing Climate Change Hazards and Their Associated Impacts on Associated Impacts on Vulnerable Locations, Sectors and Groups</w:t>
      </w:r>
    </w:p>
    <w:p w14:paraId="3192BA0B" w14:textId="77777777" w:rsidR="0099599B" w:rsidRDefault="00EB7A3F">
      <w:pPr>
        <w:pStyle w:val="Heading4"/>
        <w:spacing w:line="360" w:lineRule="auto"/>
        <w:rPr>
          <w:color w:val="47D459" w:themeColor="accent3" w:themeTint="99"/>
        </w:rPr>
      </w:pPr>
      <w:r>
        <w:rPr>
          <w:color w:val="47D459" w:themeColor="accent3" w:themeTint="99"/>
        </w:rPr>
        <w:t xml:space="preserve">3.2.3.1 Hazards and associated impacts on vulnerable locations </w:t>
      </w:r>
    </w:p>
    <w:p w14:paraId="64F808B1" w14:textId="77777777" w:rsidR="0099599B" w:rsidRDefault="00EB7A3F">
      <w:pPr>
        <w:pStyle w:val="NormalWeb"/>
        <w:spacing w:before="120" w:beforeAutospacing="0" w:after="120" w:afterAutospacing="0" w:line="360" w:lineRule="auto"/>
        <w:jc w:val="both"/>
      </w:pPr>
      <w:r>
        <w:rPr>
          <w:lang w:val="en-GB"/>
        </w:rPr>
        <w:t>The groups were tasked to map out physical/resource, identify hazard risk areas and present the main climate hazards and their impacts in the district, how people in the district currently adapt with the impacts of the specific hazards identified and the perceived effectiveness of the adaptation strategies.</w:t>
      </w:r>
      <w:r>
        <w:t xml:space="preserve"> The assessment identified several communities within Ada East District as highly vulnerable to environmental hazards, underscoring the urgent need for targeted interventions that integrate gender-sensitive solutions and address the specific needs of children, women and other marginalized groups. Identified vulnerable areas include:</w:t>
      </w:r>
    </w:p>
    <w:p w14:paraId="1A726032" w14:textId="77777777" w:rsidR="0099599B" w:rsidRDefault="00EB7A3F">
      <w:pPr>
        <w:spacing w:line="360" w:lineRule="auto"/>
        <w:jc w:val="both"/>
        <w:rPr>
          <w:b/>
          <w:bCs/>
        </w:rPr>
      </w:pPr>
      <w:r>
        <w:rPr>
          <w:b/>
          <w:bCs/>
        </w:rPr>
        <w:t>Flood-Prone Zones</w:t>
      </w:r>
    </w:p>
    <w:p w14:paraId="30E1153D" w14:textId="77777777" w:rsidR="0099599B" w:rsidRDefault="00EB7A3F">
      <w:pPr>
        <w:numPr>
          <w:ilvl w:val="0"/>
          <w:numId w:val="4"/>
        </w:numPr>
        <w:spacing w:line="360" w:lineRule="auto"/>
        <w:jc w:val="both"/>
      </w:pPr>
      <w:r>
        <w:t>Coastal and island communities such as Luhuese, Ayigbo, Kasseh, Atortorkope, Lolonyakope and Azizanya experience recurrent flooding due to their low-lying and wetland nature.</w:t>
      </w:r>
    </w:p>
    <w:p w14:paraId="45F88C0B" w14:textId="77777777" w:rsidR="0099599B" w:rsidRDefault="00EB7A3F">
      <w:pPr>
        <w:numPr>
          <w:ilvl w:val="0"/>
          <w:numId w:val="4"/>
        </w:numPr>
        <w:spacing w:line="360" w:lineRule="auto"/>
        <w:jc w:val="both"/>
      </w:pPr>
      <w:r>
        <w:t xml:space="preserve">Other exposed communities, including </w:t>
      </w:r>
      <w:r>
        <w:t>E</w:t>
      </w:r>
      <w:r>
        <w:t>lavanyo, also face recurring flood events triggered by river overflows and poor drainage systems, which disrupt livelihoods and damage households.</w:t>
      </w:r>
    </w:p>
    <w:p w14:paraId="6B215564" w14:textId="77777777" w:rsidR="0099599B" w:rsidRDefault="00EB7A3F">
      <w:pPr>
        <w:numPr>
          <w:ilvl w:val="0"/>
          <w:numId w:val="4"/>
        </w:numPr>
        <w:spacing w:line="360" w:lineRule="auto"/>
        <w:jc w:val="both"/>
      </w:pPr>
      <w:r>
        <w:t>Flooding events often deprive children of education, as schools are closed or destroyed and also create outbreaks of waterborne diseases like cholera.</w:t>
      </w:r>
    </w:p>
    <w:p w14:paraId="78D5BD88" w14:textId="77777777" w:rsidR="0099599B" w:rsidRDefault="00EB7A3F">
      <w:pPr>
        <w:spacing w:line="360" w:lineRule="auto"/>
        <w:jc w:val="both"/>
        <w:rPr>
          <w:b/>
          <w:bCs/>
        </w:rPr>
      </w:pPr>
      <w:r>
        <w:rPr>
          <w:b/>
          <w:bCs/>
        </w:rPr>
        <w:lastRenderedPageBreak/>
        <w:t>Sea Erosion and Tidal Flooding</w:t>
      </w:r>
    </w:p>
    <w:p w14:paraId="3AD5134D" w14:textId="77777777" w:rsidR="0099599B" w:rsidRDefault="00EB7A3F">
      <w:pPr>
        <w:numPr>
          <w:ilvl w:val="0"/>
          <w:numId w:val="4"/>
        </w:numPr>
        <w:spacing w:line="360" w:lineRule="auto"/>
        <w:jc w:val="both"/>
      </w:pPr>
      <w:r>
        <w:t>Coastal areas such as Azizanya and Kewunor are severely impacted by sea erosion, which leads to the destruction of property and displacements.</w:t>
      </w:r>
    </w:p>
    <w:p w14:paraId="1B52456B" w14:textId="77777777" w:rsidR="0099599B" w:rsidRDefault="00EB7A3F">
      <w:pPr>
        <w:numPr>
          <w:ilvl w:val="0"/>
          <w:numId w:val="4"/>
        </w:numPr>
        <w:spacing w:line="360" w:lineRule="auto"/>
        <w:jc w:val="both"/>
      </w:pPr>
      <w:r>
        <w:t>Rising sea levels have accelerated saltwater intrusion into freshwater systems, affecting both drinking water sources and agricultural lands.</w:t>
      </w:r>
    </w:p>
    <w:p w14:paraId="3E3DE88C" w14:textId="77777777" w:rsidR="0099599B" w:rsidRDefault="00EB7A3F">
      <w:pPr>
        <w:numPr>
          <w:ilvl w:val="0"/>
          <w:numId w:val="4"/>
        </w:numPr>
        <w:spacing w:line="360" w:lineRule="auto"/>
        <w:jc w:val="both"/>
      </w:pPr>
      <w:r>
        <w:t>These hazards directly threaten livelihoods dependent on fishing and farming, with men often losing boats and nets, while women suffer losses in fish processing and marketing activities.</w:t>
      </w:r>
    </w:p>
    <w:p w14:paraId="680F120E" w14:textId="77777777" w:rsidR="0099599B" w:rsidRDefault="00EB7A3F">
      <w:pPr>
        <w:spacing w:line="360" w:lineRule="auto"/>
        <w:jc w:val="both"/>
        <w:rPr>
          <w:b/>
          <w:bCs/>
        </w:rPr>
      </w:pPr>
      <w:r>
        <w:rPr>
          <w:b/>
          <w:bCs/>
        </w:rPr>
        <w:t>Drought-Prone Areas</w:t>
      </w:r>
    </w:p>
    <w:p w14:paraId="2534A311" w14:textId="77777777" w:rsidR="0099599B" w:rsidRDefault="00EB7A3F">
      <w:pPr>
        <w:numPr>
          <w:ilvl w:val="0"/>
          <w:numId w:val="4"/>
        </w:numPr>
        <w:spacing w:line="360" w:lineRule="auto"/>
        <w:jc w:val="both"/>
      </w:pPr>
      <w:r>
        <w:t>Some communities in Ada East are increasingly affected by drought conditions, with erratic rainfall patterns causing prolonged dry spells.</w:t>
      </w:r>
    </w:p>
    <w:p w14:paraId="6F607FF1" w14:textId="77777777" w:rsidR="0099599B" w:rsidRDefault="00EB7A3F">
      <w:pPr>
        <w:numPr>
          <w:ilvl w:val="0"/>
          <w:numId w:val="4"/>
        </w:numPr>
        <w:spacing w:line="360" w:lineRule="auto"/>
        <w:jc w:val="both"/>
      </w:pPr>
      <w:r>
        <w:t>The impacts of drought are particularly severe for women, who bear the responsibility of fetching water and managing household food supplies, compounding their vulnerability and workload.</w:t>
      </w:r>
    </w:p>
    <w:p w14:paraId="6419264D" w14:textId="77777777" w:rsidR="0099599B" w:rsidRDefault="00EB7A3F">
      <w:pPr>
        <w:numPr>
          <w:ilvl w:val="0"/>
          <w:numId w:val="4"/>
        </w:numPr>
        <w:spacing w:line="360" w:lineRule="auto"/>
        <w:jc w:val="both"/>
      </w:pPr>
      <w:r>
        <w:t>Farmers face declining yields due to inadequate irrigation systems, while livestock herders struggle with limited pasture and water.</w:t>
      </w:r>
    </w:p>
    <w:p w14:paraId="33DF4B97" w14:textId="77777777" w:rsidR="0099599B" w:rsidRDefault="00EB7A3F">
      <w:pPr>
        <w:spacing w:line="360" w:lineRule="auto"/>
        <w:jc w:val="both"/>
        <w:rPr>
          <w:b/>
          <w:bCs/>
          <w:color w:val="A02B93" w:themeColor="accent5"/>
        </w:rPr>
      </w:pPr>
      <w:r>
        <w:rPr>
          <w:b/>
          <w:bCs/>
          <w:color w:val="A02B93" w:themeColor="accent5"/>
        </w:rPr>
        <w:t>Key Landmarks and Community Resources</w:t>
      </w:r>
    </w:p>
    <w:p w14:paraId="18639DC0" w14:textId="77777777" w:rsidR="0099599B" w:rsidRDefault="00EB7A3F">
      <w:pPr>
        <w:spacing w:line="360" w:lineRule="auto"/>
        <w:jc w:val="both"/>
      </w:pPr>
      <w:r>
        <w:t>The assessment also highlighted critical infrastructure and community resources within Ada East District that are vulnerable to climate and environmental hazards, emphasizing the need for climate-resilient planning and protection measures.</w:t>
      </w:r>
    </w:p>
    <w:p w14:paraId="40A78393" w14:textId="77777777" w:rsidR="0099599B" w:rsidRDefault="00EB7A3F">
      <w:pPr>
        <w:spacing w:line="360" w:lineRule="auto"/>
        <w:jc w:val="both"/>
      </w:pPr>
      <w:r>
        <w:t>Water Infrastructure</w:t>
      </w:r>
    </w:p>
    <w:p w14:paraId="756F7A69" w14:textId="77777777" w:rsidR="0099599B" w:rsidRDefault="00EB7A3F">
      <w:pPr>
        <w:numPr>
          <w:ilvl w:val="0"/>
          <w:numId w:val="4"/>
        </w:numPr>
        <w:spacing w:line="360" w:lineRule="auto"/>
        <w:jc w:val="both"/>
      </w:pPr>
      <w:r>
        <w:t>Water resources, including rivers, wells and rainwater harvesting systems, remain critical for survival but are increasingly threatened by both floods and droughts.</w:t>
      </w:r>
    </w:p>
    <w:p w14:paraId="50B81072" w14:textId="77777777" w:rsidR="0099599B" w:rsidRDefault="00EB7A3F">
      <w:pPr>
        <w:numPr>
          <w:ilvl w:val="0"/>
          <w:numId w:val="4"/>
        </w:numPr>
        <w:spacing w:line="360" w:lineRule="auto"/>
        <w:jc w:val="both"/>
      </w:pPr>
      <w:r>
        <w:t>Safe shelter havens and accommodation facilities for displaced households are managed mainly by the District Assembly and NADMO, but they are often inadequate during major flood events.</w:t>
      </w:r>
    </w:p>
    <w:p w14:paraId="405BBA75" w14:textId="77777777" w:rsidR="0099599B" w:rsidRDefault="00EB7A3F">
      <w:pPr>
        <w:spacing w:line="360" w:lineRule="auto"/>
        <w:jc w:val="both"/>
        <w:rPr>
          <w:b/>
          <w:bCs/>
        </w:rPr>
      </w:pPr>
      <w:r>
        <w:rPr>
          <w:b/>
          <w:bCs/>
        </w:rPr>
        <w:lastRenderedPageBreak/>
        <w:t>Tourism and Recreation</w:t>
      </w:r>
    </w:p>
    <w:p w14:paraId="1A0CFA91" w14:textId="77777777" w:rsidR="0099599B" w:rsidRDefault="00EB7A3F">
      <w:pPr>
        <w:numPr>
          <w:ilvl w:val="0"/>
          <w:numId w:val="4"/>
        </w:numPr>
        <w:spacing w:line="360" w:lineRule="auto"/>
        <w:jc w:val="both"/>
      </w:pPr>
      <w:r>
        <w:t>The Songor Lagoon and adjoining estuarine systems represent significant ecological and recreational landmarks but are under severe threat from tidal flooding, sea intrusion and unregulated exploitation of natural resources.</w:t>
      </w:r>
    </w:p>
    <w:p w14:paraId="7EF53AE7" w14:textId="77777777" w:rsidR="0099599B" w:rsidRDefault="00EB7A3F">
      <w:pPr>
        <w:numPr>
          <w:ilvl w:val="0"/>
          <w:numId w:val="4"/>
        </w:numPr>
        <w:spacing w:line="360" w:lineRule="auto"/>
        <w:jc w:val="both"/>
      </w:pPr>
      <w:r>
        <w:t>The decline of mangroves in these areas has reduced their protective capacity, further endangering both biodiversity and livelihoods.</w:t>
      </w:r>
    </w:p>
    <w:p w14:paraId="20E1B2E5" w14:textId="77777777" w:rsidR="0099599B" w:rsidRDefault="00EB7A3F">
      <w:pPr>
        <w:spacing w:line="360" w:lineRule="auto"/>
        <w:jc w:val="both"/>
        <w:rPr>
          <w:b/>
          <w:bCs/>
        </w:rPr>
      </w:pPr>
      <w:r>
        <w:rPr>
          <w:b/>
          <w:bCs/>
        </w:rPr>
        <w:t>Educational Institutions</w:t>
      </w:r>
    </w:p>
    <w:p w14:paraId="0D98C227" w14:textId="77777777" w:rsidR="0099599B" w:rsidRDefault="00EB7A3F">
      <w:pPr>
        <w:numPr>
          <w:ilvl w:val="0"/>
          <w:numId w:val="4"/>
        </w:numPr>
        <w:spacing w:line="360" w:lineRule="auto"/>
        <w:jc w:val="both"/>
      </w:pPr>
      <w:r>
        <w:t>Schools located in low-lying and flood-prone communities are highly vulnerable to climate events, which disrupt academic calendars and deprive children of consistent education.</w:t>
      </w:r>
    </w:p>
    <w:p w14:paraId="385D062B" w14:textId="77777777" w:rsidR="0099599B" w:rsidRDefault="00EB7A3F">
      <w:pPr>
        <w:numPr>
          <w:ilvl w:val="0"/>
          <w:numId w:val="4"/>
        </w:numPr>
        <w:spacing w:line="360" w:lineRule="auto"/>
        <w:jc w:val="both"/>
      </w:pPr>
      <w:r>
        <w:t>These impacts extend beyond structural damage to psychosocial stress on children, particularly during prolonged displacements.</w:t>
      </w:r>
    </w:p>
    <w:p w14:paraId="63C27BB5" w14:textId="77777777" w:rsidR="0099599B" w:rsidRDefault="00EB7A3F">
      <w:pPr>
        <w:spacing w:line="360" w:lineRule="auto"/>
        <w:jc w:val="both"/>
        <w:rPr>
          <w:b/>
          <w:bCs/>
        </w:rPr>
      </w:pPr>
      <w:r>
        <w:rPr>
          <w:b/>
          <w:bCs/>
        </w:rPr>
        <w:t>Healthcare Facilities</w:t>
      </w:r>
    </w:p>
    <w:p w14:paraId="3710B1A9" w14:textId="77777777" w:rsidR="0099599B" w:rsidRDefault="00EB7A3F">
      <w:pPr>
        <w:numPr>
          <w:ilvl w:val="0"/>
          <w:numId w:val="4"/>
        </w:numPr>
        <w:spacing w:line="360" w:lineRule="auto"/>
        <w:jc w:val="both"/>
      </w:pPr>
      <w:r>
        <w:t>Community health facilities, including CHP</w:t>
      </w:r>
      <w:r>
        <w:t>S</w:t>
      </w:r>
      <w:r>
        <w:t xml:space="preserve"> compounds and clinics, are critical for service delivery but become overstretched during disease outbreaks linked to flooding and poor sanitation.</w:t>
      </w:r>
    </w:p>
    <w:p w14:paraId="167C713F" w14:textId="77777777" w:rsidR="0099599B" w:rsidRDefault="00EB7A3F">
      <w:pPr>
        <w:numPr>
          <w:ilvl w:val="0"/>
          <w:numId w:val="4"/>
        </w:numPr>
        <w:spacing w:line="360" w:lineRule="auto"/>
        <w:jc w:val="both"/>
      </w:pPr>
      <w:r>
        <w:t>The spread of cholera and malaria after flood events highlights the urgency of integrating health resilience into disaster management planning.</w:t>
      </w:r>
    </w:p>
    <w:p w14:paraId="3F1130FD" w14:textId="77777777" w:rsidR="0099599B" w:rsidRDefault="00EB7A3F">
      <w:pPr>
        <w:numPr>
          <w:ilvl w:val="0"/>
          <w:numId w:val="4"/>
        </w:numPr>
        <w:spacing w:line="360" w:lineRule="auto"/>
        <w:jc w:val="both"/>
      </w:pPr>
      <w:r>
        <w:t>Social and Security Infrastructure</w:t>
      </w:r>
    </w:p>
    <w:p w14:paraId="11912F1B" w14:textId="77777777" w:rsidR="0099599B" w:rsidRDefault="00EB7A3F">
      <w:pPr>
        <w:numPr>
          <w:ilvl w:val="0"/>
          <w:numId w:val="4"/>
        </w:numPr>
        <w:spacing w:line="360" w:lineRule="auto"/>
        <w:jc w:val="both"/>
      </w:pPr>
      <w:r>
        <w:t>Churches, mosques and community centers serve as key social cohesion points but are equally vulnerable to floods and sea erosion in low-lying zones.</w:t>
      </w:r>
    </w:p>
    <w:p w14:paraId="09C8E672" w14:textId="77777777" w:rsidR="0099599B" w:rsidRDefault="00EB7A3F">
      <w:pPr>
        <w:numPr>
          <w:ilvl w:val="0"/>
          <w:numId w:val="4"/>
        </w:numPr>
        <w:spacing w:line="360" w:lineRule="auto"/>
        <w:jc w:val="both"/>
      </w:pPr>
      <w:r>
        <w:t>The district has limited disaster evacuation points and weak institutional presence for immediate response, compounding the risks during emergencies.</w:t>
      </w:r>
    </w:p>
    <w:p w14:paraId="7B3D4966" w14:textId="77777777" w:rsidR="0099599B" w:rsidRDefault="00EB7A3F">
      <w:pPr>
        <w:spacing w:line="360" w:lineRule="auto"/>
        <w:jc w:val="both"/>
        <w:rPr>
          <w:b/>
          <w:bCs/>
        </w:rPr>
      </w:pPr>
      <w:r>
        <w:rPr>
          <w:b/>
          <w:bCs/>
        </w:rPr>
        <w:t>Agricultural and Fishing Lands</w:t>
      </w:r>
    </w:p>
    <w:p w14:paraId="7935D1C7" w14:textId="77777777" w:rsidR="0099599B" w:rsidRDefault="00EB7A3F">
      <w:pPr>
        <w:numPr>
          <w:ilvl w:val="0"/>
          <w:numId w:val="4"/>
        </w:numPr>
        <w:spacing w:line="360" w:lineRule="auto"/>
        <w:jc w:val="both"/>
      </w:pPr>
      <w:r>
        <w:t>Farmlands located in wetland areas are continually threatened by floods and salinity, jeopardizing the cultivation of staple crops such as maize and vegetables.</w:t>
      </w:r>
    </w:p>
    <w:p w14:paraId="20BDA5B9" w14:textId="77777777" w:rsidR="0099599B" w:rsidRDefault="00EB7A3F">
      <w:pPr>
        <w:numPr>
          <w:ilvl w:val="0"/>
          <w:numId w:val="4"/>
        </w:numPr>
        <w:spacing w:line="360" w:lineRule="auto"/>
        <w:jc w:val="both"/>
      </w:pPr>
      <w:r>
        <w:lastRenderedPageBreak/>
        <w:t>Fishing grounds are also at risk from sea erosion and tidal flooding, undermining the district’s coastal economy. Women engaged in processing and trading are disproportionately affected, as their income sources collapse during hazard event</w:t>
      </w:r>
      <w:r>
        <w:rPr>
          <w:noProof/>
        </w:rPr>
        <w:lastRenderedPageBreak/>
        <w:drawing>
          <wp:inline distT="0" distB="0" distL="0" distR="0" wp14:anchorId="343971E4" wp14:editId="1AD30F46">
            <wp:extent cx="3512185" cy="5910580"/>
            <wp:effectExtent l="0" t="119951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3" cstate="print">
                      <a:extLst>
                        <a:ext uri="{28A0092B-C50C-407E-A947-70E740481C1C}">
                          <a14:useLocalDpi xmlns:a14="http://schemas.microsoft.com/office/drawing/2010/main" val="0"/>
                        </a:ext>
                      </a:extLst>
                    </a:blip>
                    <a:srcRect l="3171" r="3035" b="2910"/>
                    <a:stretch>
                      <a:fillRect/>
                    </a:stretch>
                  </pic:blipFill>
                  <pic:spPr>
                    <a:xfrm rot="16200000">
                      <a:off x="0" y="0"/>
                      <a:ext cx="3512185" cy="5910580"/>
                    </a:xfrm>
                    <a:prstGeom prst="rect">
                      <a:avLst/>
                    </a:prstGeom>
                  </pic:spPr>
                </pic:pic>
              </a:graphicData>
            </a:graphic>
          </wp:inline>
        </w:drawing>
      </w:r>
      <w:r>
        <w:rPr>
          <w:noProof/>
        </w:rPr>
        <w:drawing>
          <wp:inline distT="0" distB="0" distL="0" distR="0" wp14:anchorId="2DFDA2EF" wp14:editId="76606EA2">
            <wp:extent cx="5921375" cy="3011805"/>
            <wp:effectExtent l="0" t="0" r="22225"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4" cstate="print">
                      <a:extLst>
                        <a:ext uri="{28A0092B-C50C-407E-A947-70E740481C1C}">
                          <a14:useLocalDpi xmlns:a14="http://schemas.microsoft.com/office/drawing/2010/main" val="0"/>
                        </a:ext>
                      </a:extLst>
                    </a:blip>
                    <a:srcRect l="7171" t="7804" r="1832" b="4896"/>
                    <a:stretch>
                      <a:fillRect/>
                    </a:stretch>
                  </pic:blipFill>
                  <pic:spPr>
                    <a:xfrm>
                      <a:off x="0" y="0"/>
                      <a:ext cx="5921375" cy="3011805"/>
                    </a:xfrm>
                    <a:prstGeom prst="rect">
                      <a:avLst/>
                    </a:prstGeom>
                  </pic:spPr>
                </pic:pic>
              </a:graphicData>
            </a:graphic>
          </wp:inline>
        </w:drawing>
      </w:r>
    </w:p>
    <w:p w14:paraId="268B6960"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6</w:t>
      </w:r>
      <w:r>
        <w:fldChar w:fldCharType="end"/>
      </w:r>
      <w:bookmarkStart w:id="36" w:name="_Toc5190"/>
      <w:r>
        <w:rPr>
          <w:rFonts w:cs="Times New Roman"/>
        </w:rPr>
        <w:t xml:space="preserve">: </w:t>
      </w:r>
      <w:r>
        <w:t>Visualisations of critical infrastructure, key resources and vulnerable areas, Ada East District</w:t>
      </w:r>
      <w:bookmarkEnd w:id="36"/>
    </w:p>
    <w:p w14:paraId="4D564012" w14:textId="77777777" w:rsidR="0099599B" w:rsidRDefault="00EB7A3F">
      <w:pPr>
        <w:spacing w:line="360" w:lineRule="auto"/>
      </w:pPr>
      <w:r>
        <w:rPr>
          <w:rFonts w:ascii="Arial" w:eastAsia="SimHei" w:hAnsi="Arial" w:cs="Arial"/>
          <w:i/>
          <w:iCs/>
          <w:color w:val="0000FF"/>
          <w:sz w:val="20"/>
        </w:rPr>
        <w:lastRenderedPageBreak/>
        <w:t>Source: Stakeholder Validation Worshop group work</w:t>
      </w:r>
      <w:r>
        <w:t xml:space="preserve"> </w:t>
      </w:r>
    </w:p>
    <w:p w14:paraId="00E4D539" w14:textId="77777777" w:rsidR="0099599B" w:rsidRDefault="0099599B">
      <w:pPr>
        <w:spacing w:line="360" w:lineRule="auto"/>
      </w:pPr>
    </w:p>
    <w:p w14:paraId="65D4A7A6" w14:textId="77777777" w:rsidR="0099599B" w:rsidRDefault="00EB7A3F">
      <w:pPr>
        <w:pStyle w:val="Heading4"/>
        <w:spacing w:line="360" w:lineRule="auto"/>
        <w:rPr>
          <w:color w:val="47D459" w:themeColor="accent3" w:themeTint="99"/>
        </w:rPr>
      </w:pPr>
      <w:r>
        <w:rPr>
          <w:color w:val="47D459" w:themeColor="accent3" w:themeTint="99"/>
        </w:rPr>
        <w:t>3.2.3.2 Hazards and associated impacts on vulnerable sectors</w:t>
      </w:r>
    </w:p>
    <w:p w14:paraId="2A307123" w14:textId="77777777" w:rsidR="0099599B" w:rsidRDefault="00EB7A3F">
      <w:pPr>
        <w:spacing w:line="360" w:lineRule="auto"/>
        <w:jc w:val="both"/>
        <w:rPr>
          <w:rFonts w:eastAsia="Times New Roman"/>
          <w:kern w:val="0"/>
          <w14:ligatures w14:val="none"/>
        </w:rPr>
      </w:pPr>
      <w:r>
        <w:rPr>
          <w:rFonts w:eastAsia="Times New Roman"/>
          <w:kern w:val="0"/>
          <w14:ligatures w14:val="none"/>
        </w:rPr>
        <w:t>The economy of Ada East District is anchored in agriculture, fisheries and aquaculture, salt mining, petty trading, and services, which together form the backbone of local livelihoods.</w:t>
      </w:r>
    </w:p>
    <w:p w14:paraId="1F7104E3" w14:textId="77777777" w:rsidR="0099599B" w:rsidRDefault="00EB7A3F">
      <w:pPr>
        <w:spacing w:line="360" w:lineRule="auto"/>
        <w:jc w:val="both"/>
        <w:rPr>
          <w:rFonts w:eastAsia="Times New Roman"/>
          <w:kern w:val="0"/>
          <w14:ligatures w14:val="none"/>
        </w:rPr>
      </w:pPr>
      <w:r>
        <w:rPr>
          <w:rFonts w:eastAsia="Times New Roman"/>
          <w:kern w:val="0"/>
          <w14:ligatures w14:val="none"/>
        </w:rPr>
        <w:t>Agriculture remains dominant, with maize, vegetables, and melon as key crops. However, production is increasingly constrained by rainfall variability, prolonged dry spells, and soil salinity. These challenges not only reduce yields but also undermine household food security and incomes.</w:t>
      </w:r>
    </w:p>
    <w:p w14:paraId="4DD542A5" w14:textId="77777777" w:rsidR="0099599B" w:rsidRDefault="00EB7A3F">
      <w:pPr>
        <w:spacing w:line="360" w:lineRule="auto"/>
        <w:jc w:val="both"/>
        <w:rPr>
          <w:rFonts w:eastAsia="Times New Roman"/>
          <w:kern w:val="0"/>
          <w14:ligatures w14:val="none"/>
        </w:rPr>
      </w:pPr>
      <w:r>
        <w:rPr>
          <w:rFonts w:eastAsia="Times New Roman"/>
          <w:kern w:val="0"/>
          <w14:ligatures w14:val="none"/>
        </w:rPr>
        <w:t>Fisheries and aquaculture sustain a large proportion of artisanal fishers and fish processors, particularly women. Yet tidal surges, flooding, and coastal erosion are steadily eroding landing sites and fish habitats, driving down productivity.</w:t>
      </w:r>
    </w:p>
    <w:p w14:paraId="096A870A" w14:textId="77777777" w:rsidR="0099599B" w:rsidRDefault="00EB7A3F">
      <w:pPr>
        <w:spacing w:line="360" w:lineRule="auto"/>
        <w:jc w:val="both"/>
        <w:rPr>
          <w:rFonts w:eastAsia="Times New Roman"/>
          <w:kern w:val="0"/>
          <w14:ligatures w14:val="none"/>
        </w:rPr>
      </w:pPr>
      <w:r>
        <w:rPr>
          <w:rFonts w:eastAsia="Times New Roman"/>
          <w:kern w:val="0"/>
          <w14:ligatures w14:val="none"/>
        </w:rPr>
        <w:t>Water resources are under growing stress. Saltwater intrusion into freshwater aquifers and surface water bodies has compounded problems of scarcity during dry seasons. Poor drainage and weak water management infrastructure further heighten the risks of contamination and unreliability of supplies, leaving many households dependent on costly purchased water.</w:t>
      </w:r>
    </w:p>
    <w:p w14:paraId="56CB4EF7" w14:textId="77777777" w:rsidR="0099599B" w:rsidRDefault="00EB7A3F">
      <w:pPr>
        <w:spacing w:line="360" w:lineRule="auto"/>
        <w:jc w:val="both"/>
        <w:rPr>
          <w:rFonts w:eastAsia="Times New Roman"/>
          <w:kern w:val="0"/>
          <w14:ligatures w14:val="none"/>
        </w:rPr>
      </w:pPr>
      <w:r>
        <w:rPr>
          <w:rFonts w:eastAsia="Times New Roman"/>
          <w:kern w:val="0"/>
          <w14:ligatures w14:val="none"/>
        </w:rPr>
        <w:t>Health and sanitation are particularly vulnerable to climate hazards. Floods leave stagnant water that fosters mosquito breeding and increases malaria transmission. Poor drainage worsens outbreaks of cholera and other waterborne diseases, often overwhelming local health facilities, as seen in recent flood-related cholera outbreaks.</w:t>
      </w:r>
    </w:p>
    <w:p w14:paraId="50A14CBF" w14:textId="77777777" w:rsidR="0099599B" w:rsidRDefault="00EB7A3F">
      <w:pPr>
        <w:spacing w:line="360" w:lineRule="auto"/>
        <w:jc w:val="both"/>
        <w:rPr>
          <w:rFonts w:eastAsia="Times New Roman"/>
          <w:kern w:val="0"/>
          <w14:ligatures w14:val="none"/>
        </w:rPr>
      </w:pPr>
      <w:r>
        <w:rPr>
          <w:rFonts w:eastAsia="Times New Roman"/>
          <w:kern w:val="0"/>
          <w14:ligatures w14:val="none"/>
        </w:rPr>
        <w:t>Forestry and aquatic biodiversity are in decline, with mangroves in the Songor Lagoon and Volta estuary significantly degraded by overharvesting, urban expansion, and sea level rise. Their loss has reduced natural defenses against erosion, diminished carbon sequestration, and weakened fish and crab breeding grounds—undermining both ecological integrity and community livelihoods.</w:t>
      </w:r>
    </w:p>
    <w:p w14:paraId="570A0E42" w14:textId="77777777" w:rsidR="0099599B" w:rsidRDefault="00EB7A3F">
      <w:pPr>
        <w:spacing w:line="360" w:lineRule="auto"/>
        <w:jc w:val="both"/>
        <w:rPr>
          <w:rFonts w:eastAsia="Times New Roman"/>
          <w:kern w:val="0"/>
          <w14:ligatures w14:val="none"/>
        </w:rPr>
      </w:pPr>
      <w:r>
        <w:rPr>
          <w:rFonts w:eastAsia="Times New Roman"/>
          <w:kern w:val="0"/>
          <w14:ligatures w14:val="none"/>
        </w:rPr>
        <w:t>Disaster risk reduction has become a district priority, but gaps in infrastructure such as storm drains, evacuation points, and sea defense systems leave communities like Azizanya, Kewunor, and Ada Foah highly exposed to recurrent hazards. Weak institutional coordination further constrains timely response, underscoring the need for stronger preparedness and community-based early warning systems.</w:t>
      </w:r>
    </w:p>
    <w:p w14:paraId="37D1CFC5" w14:textId="77777777" w:rsidR="0099599B" w:rsidRDefault="00EB7A3F">
      <w:pPr>
        <w:spacing w:line="360" w:lineRule="auto"/>
        <w:jc w:val="both"/>
        <w:rPr>
          <w:rFonts w:eastAsia="Times New Roman"/>
          <w:kern w:val="0"/>
          <w14:ligatures w14:val="none"/>
        </w:rPr>
      </w:pPr>
      <w:r>
        <w:rPr>
          <w:rFonts w:eastAsia="Times New Roman"/>
          <w:kern w:val="0"/>
          <w14:ligatures w14:val="none"/>
        </w:rPr>
        <w:lastRenderedPageBreak/>
        <w:t>Gender dynamics compound vulnerability. Women are central to farming, fish processing, and trading, but are often excluded from decision-making in agricultural and fisheries governance. This exclusion limits their adaptive capacity, even as they bear disproportionate burdens during planting, harvesting, and processing seasons. Their reliance on degraded ecosystems heightens exposure to income shocks, while heavy workloads during climate-related crises constrain opportunities for diversification.</w:t>
      </w:r>
    </w:p>
    <w:p w14:paraId="071C9196" w14:textId="77777777" w:rsidR="0099599B" w:rsidRDefault="00EB7A3F">
      <w:pPr>
        <w:spacing w:line="360" w:lineRule="auto"/>
        <w:jc w:val="both"/>
        <w:rPr>
          <w:rFonts w:eastAsia="Times New Roman"/>
          <w:kern w:val="0"/>
          <w14:ligatures w14:val="none"/>
        </w:rPr>
      </w:pPr>
      <w:r>
        <w:rPr>
          <w:rFonts w:eastAsia="Times New Roman"/>
          <w:kern w:val="0"/>
          <w14:ligatures w14:val="none"/>
        </w:rPr>
        <w:t>Tourism is emerging as a potential driver of economic diversification, with beaches and the Songor Lagoon offering attractive natural assets. However, erosion, flooding, and poor road infrastructure undermine accessibility and reduce its long-term viability as a sustainable sector. Without climate-resilient infrastructure and ecosystem restoration, its potential will remain underexploited.</w:t>
      </w:r>
    </w:p>
    <w:p w14:paraId="6E09D2E0" w14:textId="77777777" w:rsidR="0099599B" w:rsidRDefault="00EB7A3F">
      <w:pPr>
        <w:spacing w:line="360" w:lineRule="auto"/>
        <w:jc w:val="both"/>
        <w:rPr>
          <w:rFonts w:eastAsia="Times New Roman"/>
          <w:kern w:val="0"/>
          <w14:ligatures w14:val="none"/>
        </w:rPr>
      </w:pPr>
      <w:r>
        <w:rPr>
          <w:rFonts w:eastAsia="Times New Roman"/>
          <w:kern w:val="0"/>
          <w14:ligatures w14:val="none"/>
        </w:rPr>
        <w:t>To prioritize interventions, the district applied the Simple Weighted Average Rank (SWAR) method, which calculates the average ranking position of each sector weighted by frequency. In this method, a lower average position indicates a higher priority or stronger climate impact (see Table 2). The results show:</w:t>
      </w:r>
    </w:p>
    <w:p w14:paraId="09EBBBBD" w14:textId="77777777" w:rsidR="0099599B" w:rsidRDefault="00EB7A3F">
      <w:pPr>
        <w:numPr>
          <w:ilvl w:val="0"/>
          <w:numId w:val="8"/>
        </w:numPr>
        <w:tabs>
          <w:tab w:val="clear" w:pos="420"/>
          <w:tab w:val="left" w:pos="720"/>
        </w:tabs>
        <w:spacing w:beforeAutospacing="1" w:after="0" w:afterAutospacing="1" w:line="360" w:lineRule="auto"/>
        <w:jc w:val="both"/>
      </w:pPr>
      <w:r>
        <w:t>Agriculture ranks first, with the lowest weighted average position (2.2), highlighting its status as the most climate-sensitive sector.</w:t>
      </w:r>
    </w:p>
    <w:p w14:paraId="338DE58D" w14:textId="77777777" w:rsidR="0099599B" w:rsidRDefault="00EB7A3F">
      <w:pPr>
        <w:numPr>
          <w:ilvl w:val="0"/>
          <w:numId w:val="8"/>
        </w:numPr>
        <w:tabs>
          <w:tab w:val="clear" w:pos="420"/>
          <w:tab w:val="left" w:pos="720"/>
        </w:tabs>
        <w:spacing w:beforeAutospacing="1" w:after="0" w:afterAutospacing="1" w:line="360" w:lineRule="auto"/>
        <w:jc w:val="both"/>
      </w:pPr>
      <w:r>
        <w:t>Water resources ranks second (2.25), reflecting its consistent prioritization across groups due to challenges such as saline intrusion and scarcity.</w:t>
      </w:r>
    </w:p>
    <w:p w14:paraId="65AC2C49" w14:textId="77777777" w:rsidR="0099599B" w:rsidRDefault="00EB7A3F">
      <w:pPr>
        <w:numPr>
          <w:ilvl w:val="0"/>
          <w:numId w:val="8"/>
        </w:numPr>
        <w:tabs>
          <w:tab w:val="clear" w:pos="420"/>
          <w:tab w:val="left" w:pos="720"/>
        </w:tabs>
        <w:spacing w:beforeAutospacing="1" w:after="0" w:afterAutospacing="1" w:line="360" w:lineRule="auto"/>
        <w:jc w:val="both"/>
      </w:pPr>
      <w:r>
        <w:t>Fisheries and aquaculture is third (2.4), closely following, emphasizing its importance to coastal livelihoods and vulnerability to tidal surges.</w:t>
      </w:r>
    </w:p>
    <w:p w14:paraId="192BD319" w14:textId="77777777" w:rsidR="0099599B" w:rsidRDefault="00EB7A3F">
      <w:pPr>
        <w:numPr>
          <w:ilvl w:val="0"/>
          <w:numId w:val="8"/>
        </w:numPr>
        <w:tabs>
          <w:tab w:val="clear" w:pos="420"/>
          <w:tab w:val="left" w:pos="720"/>
        </w:tabs>
        <w:spacing w:beforeAutospacing="1" w:after="0" w:afterAutospacing="1" w:line="360" w:lineRule="auto"/>
        <w:jc w:val="both"/>
      </w:pPr>
      <w:r>
        <w:t>Disaster Risk Reduction ranks fourth (3.3), indicating recognition of increasing hazard management needs, though it received fewer top rankings.</w:t>
      </w:r>
    </w:p>
    <w:p w14:paraId="414E331C" w14:textId="77777777" w:rsidR="0099599B" w:rsidRDefault="00EB7A3F">
      <w:pPr>
        <w:numPr>
          <w:ilvl w:val="0"/>
          <w:numId w:val="8"/>
        </w:numPr>
        <w:tabs>
          <w:tab w:val="clear" w:pos="420"/>
          <w:tab w:val="left" w:pos="720"/>
        </w:tabs>
        <w:spacing w:beforeAutospacing="1" w:after="0" w:afterAutospacing="1" w:line="360" w:lineRule="auto"/>
        <w:jc w:val="both"/>
      </w:pPr>
      <w:r>
        <w:t>Health and sanitation ranks fifth (3.8), demonstrating notable concern, but typically ranked below sectors more directly linked to livelihoods and ecosystems.</w:t>
      </w:r>
    </w:p>
    <w:p w14:paraId="700B8885" w14:textId="77777777" w:rsidR="0099599B" w:rsidRDefault="00EB7A3F">
      <w:pPr>
        <w:pStyle w:val="Caption"/>
        <w:spacing w:line="360" w:lineRule="auto"/>
      </w:pPr>
      <w:r>
        <w:t xml:space="preserve">Table </w:t>
      </w:r>
      <w:r>
        <w:fldChar w:fldCharType="begin"/>
      </w:r>
      <w:r>
        <w:instrText xml:space="preserve"> SEQ Table \* ARABIC </w:instrText>
      </w:r>
      <w:r>
        <w:fldChar w:fldCharType="separate"/>
      </w:r>
      <w:r>
        <w:t>2</w:t>
      </w:r>
      <w:r>
        <w:fldChar w:fldCharType="end"/>
      </w:r>
      <w:bookmarkStart w:id="37" w:name="_Toc32289"/>
      <w:r>
        <w:t>: Ranking of the most important and vulnerable economic sectors to climate cange</w:t>
      </w:r>
      <w:bookmarkEnd w:id="37"/>
    </w:p>
    <w:tbl>
      <w:tblPr>
        <w:tblW w:w="4998" w:type="pct"/>
        <w:tblCellMar>
          <w:left w:w="0" w:type="dxa"/>
          <w:right w:w="0" w:type="dxa"/>
        </w:tblCellMar>
        <w:tblLook w:val="04A0" w:firstRow="1" w:lastRow="0" w:firstColumn="1" w:lastColumn="0" w:noHBand="0" w:noVBand="1"/>
      </w:tblPr>
      <w:tblGrid>
        <w:gridCol w:w="3742"/>
        <w:gridCol w:w="604"/>
        <w:gridCol w:w="591"/>
        <w:gridCol w:w="571"/>
        <w:gridCol w:w="604"/>
        <w:gridCol w:w="604"/>
        <w:gridCol w:w="604"/>
        <w:gridCol w:w="604"/>
        <w:gridCol w:w="682"/>
        <w:gridCol w:w="740"/>
      </w:tblGrid>
      <w:tr w:rsidR="0099599B" w14:paraId="28649545" w14:textId="77777777">
        <w:trPr>
          <w:trHeight w:val="337"/>
        </w:trPr>
        <w:tc>
          <w:tcPr>
            <w:tcW w:w="1967" w:type="pct"/>
            <w:vMerge w:val="restar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05813DDF" w14:textId="77777777" w:rsidR="0099599B" w:rsidRDefault="00EB7A3F">
            <w:pPr>
              <w:pStyle w:val="NormalWeb"/>
              <w:spacing w:line="360" w:lineRule="auto"/>
              <w:jc w:val="center"/>
              <w:rPr>
                <w:sz w:val="22"/>
                <w:szCs w:val="22"/>
              </w:rPr>
            </w:pPr>
            <w:r>
              <w:rPr>
                <w:b/>
                <w:bCs/>
                <w:color w:val="000000"/>
                <w:sz w:val="22"/>
                <w:szCs w:val="22"/>
              </w:rPr>
              <w:t>Sector</w:t>
            </w:r>
          </w:p>
        </w:tc>
        <w:tc>
          <w:tcPr>
            <w:tcW w:w="2632" w:type="pct"/>
            <w:gridSpan w:val="8"/>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4A2F48B0" w14:textId="77777777" w:rsidR="0099599B" w:rsidRDefault="00EB7A3F">
            <w:pPr>
              <w:pStyle w:val="NormalWeb"/>
              <w:spacing w:line="360" w:lineRule="auto"/>
              <w:jc w:val="center"/>
              <w:rPr>
                <w:sz w:val="22"/>
                <w:szCs w:val="22"/>
              </w:rPr>
            </w:pPr>
            <w:r>
              <w:rPr>
                <w:b/>
                <w:bCs/>
                <w:color w:val="000000"/>
                <w:sz w:val="22"/>
                <w:szCs w:val="22"/>
              </w:rPr>
              <w:t>Position/Frequency</w:t>
            </w:r>
          </w:p>
        </w:tc>
        <w:tc>
          <w:tcPr>
            <w:tcW w:w="399" w:type="pct"/>
            <w:vMerge w:val="restar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13045604" w14:textId="77777777" w:rsidR="0099599B" w:rsidRDefault="00EB7A3F">
            <w:pPr>
              <w:pStyle w:val="NormalWeb"/>
              <w:spacing w:line="360" w:lineRule="auto"/>
              <w:jc w:val="center"/>
              <w:rPr>
                <w:sz w:val="22"/>
                <w:szCs w:val="22"/>
              </w:rPr>
            </w:pPr>
            <w:r>
              <w:rPr>
                <w:b/>
                <w:bCs/>
                <w:color w:val="000000"/>
                <w:sz w:val="22"/>
                <w:szCs w:val="22"/>
              </w:rPr>
              <w:t>Rank</w:t>
            </w:r>
          </w:p>
        </w:tc>
      </w:tr>
      <w:tr w:rsidR="0099599B" w14:paraId="0A82EED9" w14:textId="77777777">
        <w:trPr>
          <w:trHeight w:val="330"/>
        </w:trPr>
        <w:tc>
          <w:tcPr>
            <w:tcW w:w="1967" w:type="pct"/>
            <w:vMerge/>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35BF4C49" w14:textId="77777777" w:rsidR="0099599B" w:rsidRDefault="0099599B">
            <w:pPr>
              <w:spacing w:line="360" w:lineRule="auto"/>
              <w:rPr>
                <w:rFonts w:ascii="SimSun"/>
                <w:sz w:val="22"/>
                <w:szCs w:val="22"/>
              </w:rPr>
            </w:pPr>
          </w:p>
        </w:tc>
        <w:tc>
          <w:tcPr>
            <w:tcW w:w="327"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06DE6CA8" w14:textId="77777777" w:rsidR="0099599B" w:rsidRDefault="00EB7A3F">
            <w:pPr>
              <w:pStyle w:val="NormalWeb"/>
              <w:spacing w:line="360" w:lineRule="auto"/>
              <w:jc w:val="center"/>
              <w:rPr>
                <w:sz w:val="22"/>
                <w:szCs w:val="22"/>
              </w:rPr>
            </w:pPr>
            <w:r>
              <w:rPr>
                <w:b/>
                <w:bCs/>
                <w:color w:val="000000"/>
                <w:sz w:val="22"/>
                <w:szCs w:val="22"/>
              </w:rPr>
              <w:t>1</w:t>
            </w:r>
          </w:p>
        </w:tc>
        <w:tc>
          <w:tcPr>
            <w:tcW w:w="320"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1DFB1E3C" w14:textId="77777777" w:rsidR="0099599B" w:rsidRDefault="00EB7A3F">
            <w:pPr>
              <w:pStyle w:val="NormalWeb"/>
              <w:spacing w:line="360" w:lineRule="auto"/>
              <w:jc w:val="center"/>
              <w:rPr>
                <w:sz w:val="22"/>
                <w:szCs w:val="22"/>
              </w:rPr>
            </w:pPr>
            <w:r>
              <w:rPr>
                <w:b/>
                <w:bCs/>
                <w:color w:val="000000"/>
                <w:sz w:val="22"/>
                <w:szCs w:val="22"/>
              </w:rPr>
              <w:t>2</w:t>
            </w:r>
          </w:p>
        </w:tc>
        <w:tc>
          <w:tcPr>
            <w:tcW w:w="309"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45C395ED" w14:textId="77777777" w:rsidR="0099599B" w:rsidRDefault="00EB7A3F">
            <w:pPr>
              <w:pStyle w:val="NormalWeb"/>
              <w:spacing w:line="360" w:lineRule="auto"/>
              <w:jc w:val="center"/>
              <w:rPr>
                <w:sz w:val="22"/>
                <w:szCs w:val="22"/>
              </w:rPr>
            </w:pPr>
            <w:r>
              <w:rPr>
                <w:b/>
                <w:bCs/>
                <w:color w:val="000000"/>
                <w:sz w:val="22"/>
                <w:szCs w:val="22"/>
              </w:rPr>
              <w:t>3</w:t>
            </w:r>
          </w:p>
        </w:tc>
        <w:tc>
          <w:tcPr>
            <w:tcW w:w="327"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7B5B6C6D" w14:textId="77777777" w:rsidR="0099599B" w:rsidRDefault="00EB7A3F">
            <w:pPr>
              <w:pStyle w:val="NormalWeb"/>
              <w:spacing w:line="360" w:lineRule="auto"/>
              <w:jc w:val="center"/>
              <w:rPr>
                <w:sz w:val="22"/>
                <w:szCs w:val="22"/>
              </w:rPr>
            </w:pPr>
            <w:r>
              <w:rPr>
                <w:b/>
                <w:bCs/>
                <w:color w:val="000000"/>
                <w:sz w:val="22"/>
                <w:szCs w:val="22"/>
              </w:rPr>
              <w:t>4</w:t>
            </w:r>
          </w:p>
        </w:tc>
        <w:tc>
          <w:tcPr>
            <w:tcW w:w="327"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7D5B8ECD" w14:textId="77777777" w:rsidR="0099599B" w:rsidRDefault="00EB7A3F">
            <w:pPr>
              <w:pStyle w:val="NormalWeb"/>
              <w:spacing w:line="360" w:lineRule="auto"/>
              <w:jc w:val="center"/>
              <w:rPr>
                <w:sz w:val="22"/>
                <w:szCs w:val="22"/>
              </w:rPr>
            </w:pPr>
            <w:r>
              <w:rPr>
                <w:b/>
                <w:bCs/>
                <w:color w:val="000000"/>
                <w:sz w:val="22"/>
                <w:szCs w:val="22"/>
              </w:rPr>
              <w:t>5</w:t>
            </w:r>
          </w:p>
        </w:tc>
        <w:tc>
          <w:tcPr>
            <w:tcW w:w="327"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3C823C65" w14:textId="77777777" w:rsidR="0099599B" w:rsidRDefault="00EB7A3F">
            <w:pPr>
              <w:pStyle w:val="NormalWeb"/>
              <w:spacing w:line="360" w:lineRule="auto"/>
              <w:jc w:val="center"/>
              <w:rPr>
                <w:sz w:val="22"/>
                <w:szCs w:val="22"/>
              </w:rPr>
            </w:pPr>
            <w:r>
              <w:rPr>
                <w:b/>
                <w:bCs/>
                <w:color w:val="000000"/>
                <w:sz w:val="22"/>
                <w:szCs w:val="22"/>
              </w:rPr>
              <w:t>6</w:t>
            </w:r>
          </w:p>
        </w:tc>
        <w:tc>
          <w:tcPr>
            <w:tcW w:w="327"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6B53B426" w14:textId="77777777" w:rsidR="0099599B" w:rsidRDefault="00EB7A3F">
            <w:pPr>
              <w:pStyle w:val="NormalWeb"/>
              <w:spacing w:line="360" w:lineRule="auto"/>
              <w:jc w:val="center"/>
              <w:rPr>
                <w:sz w:val="22"/>
                <w:szCs w:val="22"/>
              </w:rPr>
            </w:pPr>
            <w:r>
              <w:rPr>
                <w:b/>
                <w:bCs/>
                <w:color w:val="000000"/>
                <w:sz w:val="22"/>
                <w:szCs w:val="22"/>
              </w:rPr>
              <w:t>7</w:t>
            </w:r>
          </w:p>
        </w:tc>
        <w:tc>
          <w:tcPr>
            <w:tcW w:w="362" w:type="pct"/>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0532FE42" w14:textId="77777777" w:rsidR="0099599B" w:rsidRDefault="00EB7A3F">
            <w:pPr>
              <w:pStyle w:val="NormalWeb"/>
              <w:spacing w:line="360" w:lineRule="auto"/>
              <w:jc w:val="center"/>
              <w:rPr>
                <w:sz w:val="22"/>
                <w:szCs w:val="22"/>
              </w:rPr>
            </w:pPr>
            <w:r>
              <w:rPr>
                <w:b/>
                <w:bCs/>
                <w:color w:val="000000"/>
                <w:sz w:val="22"/>
                <w:szCs w:val="22"/>
              </w:rPr>
              <w:t>8</w:t>
            </w:r>
          </w:p>
        </w:tc>
        <w:tc>
          <w:tcPr>
            <w:tcW w:w="399" w:type="pct"/>
            <w:vMerge/>
            <w:tcBorders>
              <w:top w:val="single" w:sz="4" w:space="0" w:color="000000"/>
              <w:left w:val="single" w:sz="4" w:space="0" w:color="000000"/>
              <w:bottom w:val="single" w:sz="4" w:space="0" w:color="000000"/>
              <w:right w:val="single" w:sz="4" w:space="0" w:color="000000"/>
            </w:tcBorders>
            <w:shd w:val="clear" w:color="auto" w:fill="FFD965"/>
            <w:tcMar>
              <w:left w:w="108" w:type="dxa"/>
              <w:right w:w="108" w:type="dxa"/>
            </w:tcMar>
          </w:tcPr>
          <w:p w14:paraId="1050E58C" w14:textId="77777777" w:rsidR="0099599B" w:rsidRDefault="0099599B">
            <w:pPr>
              <w:spacing w:line="360" w:lineRule="auto"/>
              <w:rPr>
                <w:rFonts w:ascii="SimSun"/>
                <w:sz w:val="22"/>
                <w:szCs w:val="22"/>
              </w:rPr>
            </w:pPr>
          </w:p>
        </w:tc>
      </w:tr>
      <w:tr w:rsidR="0099599B" w14:paraId="31F79D75" w14:textId="77777777">
        <w:trPr>
          <w:trHeight w:val="270"/>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5C11BD24" w14:textId="77777777" w:rsidR="0099599B" w:rsidRDefault="00EB7A3F">
            <w:pPr>
              <w:pStyle w:val="NormalWeb"/>
              <w:spacing w:line="360" w:lineRule="auto"/>
              <w:rPr>
                <w:sz w:val="22"/>
                <w:szCs w:val="22"/>
              </w:rPr>
            </w:pPr>
            <w:r>
              <w:rPr>
                <w:b/>
                <w:bCs/>
                <w:color w:val="000000"/>
                <w:sz w:val="22"/>
                <w:szCs w:val="22"/>
              </w:rPr>
              <w:t>1. Agriculture </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F9204C4" w14:textId="77777777" w:rsidR="0099599B" w:rsidRDefault="00EB7A3F">
            <w:pPr>
              <w:pStyle w:val="NormalWeb"/>
              <w:spacing w:line="360" w:lineRule="auto"/>
              <w:jc w:val="center"/>
              <w:rPr>
                <w:sz w:val="22"/>
                <w:szCs w:val="22"/>
              </w:rPr>
            </w:pPr>
            <w:r>
              <w:rPr>
                <w:color w:val="000000"/>
                <w:sz w:val="22"/>
                <w:szCs w:val="22"/>
              </w:rPr>
              <w:t xml:space="preserve">15 </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FCDA241" w14:textId="77777777" w:rsidR="0099599B" w:rsidRDefault="00EB7A3F">
            <w:pPr>
              <w:pStyle w:val="NormalWeb"/>
              <w:spacing w:line="360" w:lineRule="auto"/>
              <w:jc w:val="center"/>
              <w:rPr>
                <w:sz w:val="22"/>
                <w:szCs w:val="22"/>
              </w:rPr>
            </w:pPr>
            <w:r>
              <w:rPr>
                <w:color w:val="000000"/>
                <w:sz w:val="22"/>
                <w:szCs w:val="22"/>
              </w:rPr>
              <w:t xml:space="preserve"> 3</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5ED6634A" w14:textId="77777777" w:rsidR="0099599B" w:rsidRDefault="00EB7A3F">
            <w:pPr>
              <w:pStyle w:val="NormalWeb"/>
              <w:spacing w:line="360" w:lineRule="auto"/>
              <w:jc w:val="center"/>
              <w:rPr>
                <w:sz w:val="22"/>
                <w:szCs w:val="22"/>
              </w:rPr>
            </w:pPr>
            <w:r>
              <w:rPr>
                <w:color w:val="000000"/>
                <w:sz w:val="22"/>
                <w:szCs w:val="22"/>
              </w:rPr>
              <w:t xml:space="preserve"> 1</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1ABF941" w14:textId="77777777" w:rsidR="0099599B" w:rsidRDefault="00EB7A3F">
            <w:pPr>
              <w:pStyle w:val="NormalWeb"/>
              <w:spacing w:line="360" w:lineRule="auto"/>
              <w:jc w:val="center"/>
              <w:rPr>
                <w:sz w:val="22"/>
                <w:szCs w:val="22"/>
              </w:rPr>
            </w:pPr>
            <w:r>
              <w:rPr>
                <w:color w:val="000000"/>
                <w:sz w:val="22"/>
                <w:szCs w:val="22"/>
              </w:rPr>
              <w:t xml:space="preserve"> 0</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D86179E" w14:textId="77777777" w:rsidR="0099599B" w:rsidRDefault="00EB7A3F">
            <w:pPr>
              <w:pStyle w:val="NormalWeb"/>
              <w:spacing w:line="360" w:lineRule="auto"/>
              <w:jc w:val="center"/>
              <w:rPr>
                <w:sz w:val="22"/>
                <w:szCs w:val="22"/>
              </w:rPr>
            </w:pPr>
            <w:r>
              <w:rPr>
                <w:color w:val="000000"/>
                <w:sz w:val="22"/>
                <w:szCs w:val="22"/>
              </w:rPr>
              <w:t>0</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C44DC8B" w14:textId="77777777" w:rsidR="0099599B" w:rsidRDefault="00EB7A3F">
            <w:pPr>
              <w:pStyle w:val="NormalWeb"/>
              <w:spacing w:line="360" w:lineRule="auto"/>
              <w:jc w:val="center"/>
              <w:rPr>
                <w:sz w:val="22"/>
                <w:szCs w:val="22"/>
              </w:rPr>
            </w:pPr>
            <w:r>
              <w:rPr>
                <w:color w:val="000000"/>
                <w:sz w:val="22"/>
                <w:szCs w:val="22"/>
              </w:rPr>
              <w:t>0</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8CD99A9" w14:textId="77777777" w:rsidR="0099599B" w:rsidRDefault="00EB7A3F">
            <w:pPr>
              <w:pStyle w:val="NormalWeb"/>
              <w:spacing w:line="360" w:lineRule="auto"/>
              <w:jc w:val="center"/>
              <w:rPr>
                <w:sz w:val="22"/>
                <w:szCs w:val="22"/>
              </w:rPr>
            </w:pPr>
            <w:r>
              <w:rPr>
                <w:color w:val="000000"/>
                <w:sz w:val="22"/>
                <w:szCs w:val="22"/>
              </w:rPr>
              <w:t>0</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28CC814" w14:textId="77777777" w:rsidR="0099599B" w:rsidRDefault="00EB7A3F">
            <w:pPr>
              <w:pStyle w:val="NormalWeb"/>
              <w:spacing w:line="360" w:lineRule="auto"/>
              <w:jc w:val="center"/>
              <w:rPr>
                <w:sz w:val="22"/>
                <w:szCs w:val="22"/>
              </w:rPr>
            </w:pPr>
            <w:r>
              <w:rPr>
                <w:color w:val="000000"/>
                <w:sz w:val="22"/>
                <w:szCs w:val="22"/>
              </w:rPr>
              <w:t>0</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DE47F62" w14:textId="77777777" w:rsidR="0099599B" w:rsidRDefault="00EB7A3F">
            <w:pPr>
              <w:pStyle w:val="NormalWeb"/>
              <w:spacing w:line="360" w:lineRule="auto"/>
              <w:jc w:val="center"/>
              <w:rPr>
                <w:b/>
                <w:bCs/>
                <w:color w:val="0000FF"/>
                <w:sz w:val="22"/>
                <w:szCs w:val="22"/>
              </w:rPr>
            </w:pPr>
            <w:r>
              <w:rPr>
                <w:b/>
                <w:bCs/>
                <w:color w:val="0000FF"/>
                <w:sz w:val="22"/>
                <w:szCs w:val="22"/>
              </w:rPr>
              <w:t>1st</w:t>
            </w:r>
          </w:p>
        </w:tc>
      </w:tr>
      <w:tr w:rsidR="0099599B" w14:paraId="7ECA4AF8" w14:textId="77777777">
        <w:trPr>
          <w:trHeight w:val="337"/>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03605698" w14:textId="77777777" w:rsidR="0099599B" w:rsidRDefault="00EB7A3F">
            <w:pPr>
              <w:pStyle w:val="NormalWeb"/>
              <w:spacing w:line="360" w:lineRule="auto"/>
              <w:rPr>
                <w:sz w:val="22"/>
                <w:szCs w:val="22"/>
              </w:rPr>
            </w:pPr>
            <w:r>
              <w:rPr>
                <w:b/>
                <w:bCs/>
                <w:color w:val="000000"/>
                <w:sz w:val="22"/>
                <w:szCs w:val="22"/>
              </w:rPr>
              <w:t>2. Fisheries and acquaculture</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1E6A477" w14:textId="77777777" w:rsidR="0099599B" w:rsidRDefault="00EB7A3F">
            <w:pPr>
              <w:pStyle w:val="NormalWeb"/>
              <w:spacing w:line="360" w:lineRule="auto"/>
              <w:jc w:val="center"/>
              <w:rPr>
                <w:sz w:val="22"/>
                <w:szCs w:val="22"/>
              </w:rPr>
            </w:pPr>
            <w:r>
              <w:rPr>
                <w:color w:val="000000"/>
                <w:sz w:val="22"/>
                <w:szCs w:val="22"/>
              </w:rPr>
              <w:t xml:space="preserve"> 3</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8403941" w14:textId="77777777" w:rsidR="0099599B" w:rsidRDefault="00EB7A3F">
            <w:pPr>
              <w:pStyle w:val="NormalWeb"/>
              <w:spacing w:line="360" w:lineRule="auto"/>
              <w:jc w:val="center"/>
              <w:rPr>
                <w:sz w:val="22"/>
                <w:szCs w:val="22"/>
              </w:rPr>
            </w:pPr>
            <w:r>
              <w:rPr>
                <w:color w:val="000000"/>
                <w:sz w:val="22"/>
                <w:szCs w:val="22"/>
              </w:rPr>
              <w:t xml:space="preserve"> 4</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2E14C27" w14:textId="77777777" w:rsidR="0099599B" w:rsidRDefault="00EB7A3F">
            <w:pPr>
              <w:pStyle w:val="NormalWeb"/>
              <w:spacing w:line="360" w:lineRule="auto"/>
              <w:jc w:val="center"/>
              <w:rPr>
                <w:sz w:val="22"/>
                <w:szCs w:val="22"/>
              </w:rPr>
            </w:pPr>
            <w:r>
              <w:rPr>
                <w:color w:val="000000"/>
                <w:sz w:val="22"/>
                <w:szCs w:val="22"/>
              </w:rPr>
              <w:t xml:space="preserve"> 2</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58335054" w14:textId="77777777" w:rsidR="0099599B" w:rsidRDefault="00EB7A3F">
            <w:pPr>
              <w:pStyle w:val="NormalWeb"/>
              <w:spacing w:line="360" w:lineRule="auto"/>
              <w:jc w:val="center"/>
              <w:rPr>
                <w:sz w:val="22"/>
                <w:szCs w:val="22"/>
              </w:rPr>
            </w:pPr>
            <w:r>
              <w:rPr>
                <w:color w:val="000000"/>
                <w:sz w:val="22"/>
                <w:szCs w:val="22"/>
              </w:rPr>
              <w:t xml:space="preserve"> 2</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39D9064" w14:textId="77777777" w:rsidR="0099599B" w:rsidRDefault="00EB7A3F">
            <w:pPr>
              <w:pStyle w:val="NormalWeb"/>
              <w:spacing w:line="360" w:lineRule="auto"/>
              <w:jc w:val="center"/>
              <w:rPr>
                <w:sz w:val="22"/>
                <w:szCs w:val="22"/>
              </w:rPr>
            </w:pPr>
            <w:r>
              <w:rPr>
                <w:color w:val="000000"/>
                <w:sz w:val="22"/>
                <w:szCs w:val="22"/>
              </w:rPr>
              <w:t>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EB9190F" w14:textId="77777777" w:rsidR="0099599B" w:rsidRDefault="00EB7A3F">
            <w:pPr>
              <w:pStyle w:val="NormalWeb"/>
              <w:spacing w:line="360" w:lineRule="auto"/>
              <w:jc w:val="center"/>
              <w:rPr>
                <w:sz w:val="22"/>
                <w:szCs w:val="22"/>
              </w:rPr>
            </w:pPr>
            <w:r>
              <w:rPr>
                <w:color w:val="000000"/>
                <w:sz w:val="22"/>
                <w:szCs w:val="22"/>
              </w:rPr>
              <w:t>6</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E0307EC" w14:textId="77777777" w:rsidR="0099599B" w:rsidRDefault="00EB7A3F">
            <w:pPr>
              <w:pStyle w:val="NormalWeb"/>
              <w:spacing w:line="360" w:lineRule="auto"/>
              <w:jc w:val="center"/>
              <w:rPr>
                <w:sz w:val="22"/>
                <w:szCs w:val="22"/>
              </w:rPr>
            </w:pPr>
            <w:r>
              <w:rPr>
                <w:color w:val="000000"/>
                <w:sz w:val="22"/>
                <w:szCs w:val="22"/>
              </w:rPr>
              <w:t>0</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553E0C6" w14:textId="77777777" w:rsidR="0099599B" w:rsidRDefault="00EB7A3F">
            <w:pPr>
              <w:pStyle w:val="NormalWeb"/>
              <w:spacing w:line="360" w:lineRule="auto"/>
              <w:jc w:val="center"/>
              <w:rPr>
                <w:sz w:val="22"/>
                <w:szCs w:val="22"/>
              </w:rPr>
            </w:pPr>
            <w:r>
              <w:rPr>
                <w:color w:val="000000"/>
                <w:sz w:val="22"/>
                <w:szCs w:val="22"/>
              </w:rPr>
              <w:t>1</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7DE2BF1A" w14:textId="77777777" w:rsidR="0099599B" w:rsidRDefault="00EB7A3F">
            <w:pPr>
              <w:pStyle w:val="NormalWeb"/>
              <w:spacing w:line="360" w:lineRule="auto"/>
              <w:jc w:val="center"/>
              <w:rPr>
                <w:b/>
                <w:bCs/>
                <w:color w:val="0000FF"/>
                <w:sz w:val="22"/>
                <w:szCs w:val="22"/>
              </w:rPr>
            </w:pPr>
            <w:r>
              <w:rPr>
                <w:b/>
                <w:bCs/>
                <w:color w:val="0000FF"/>
                <w:sz w:val="22"/>
                <w:szCs w:val="22"/>
              </w:rPr>
              <w:t>3rd</w:t>
            </w:r>
          </w:p>
        </w:tc>
      </w:tr>
      <w:tr w:rsidR="0099599B" w14:paraId="7EF366F5" w14:textId="77777777">
        <w:trPr>
          <w:trHeight w:val="310"/>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31AAF61E" w14:textId="77777777" w:rsidR="0099599B" w:rsidRDefault="00EB7A3F">
            <w:pPr>
              <w:pStyle w:val="NormalWeb"/>
              <w:spacing w:line="360" w:lineRule="auto"/>
              <w:rPr>
                <w:sz w:val="22"/>
                <w:szCs w:val="22"/>
              </w:rPr>
            </w:pPr>
            <w:r>
              <w:rPr>
                <w:b/>
                <w:bCs/>
                <w:color w:val="000000"/>
                <w:sz w:val="22"/>
                <w:szCs w:val="22"/>
              </w:rPr>
              <w:lastRenderedPageBreak/>
              <w:t>3. Water resources</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6B0B7A4" w14:textId="77777777" w:rsidR="0099599B" w:rsidRDefault="00EB7A3F">
            <w:pPr>
              <w:pStyle w:val="NormalWeb"/>
              <w:spacing w:line="360" w:lineRule="auto"/>
              <w:jc w:val="center"/>
              <w:rPr>
                <w:sz w:val="22"/>
                <w:szCs w:val="22"/>
              </w:rPr>
            </w:pPr>
            <w:r>
              <w:rPr>
                <w:color w:val="000000"/>
                <w:sz w:val="22"/>
                <w:szCs w:val="22"/>
              </w:rPr>
              <w:t xml:space="preserve"> 1</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481C0C8" w14:textId="77777777" w:rsidR="0099599B" w:rsidRDefault="00EB7A3F">
            <w:pPr>
              <w:pStyle w:val="NormalWeb"/>
              <w:spacing w:line="360" w:lineRule="auto"/>
              <w:jc w:val="center"/>
              <w:rPr>
                <w:sz w:val="22"/>
                <w:szCs w:val="22"/>
              </w:rPr>
            </w:pPr>
            <w:r>
              <w:rPr>
                <w:color w:val="000000"/>
                <w:sz w:val="22"/>
                <w:szCs w:val="22"/>
              </w:rPr>
              <w:t xml:space="preserve"> 6</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0CD86F5" w14:textId="77777777" w:rsidR="0099599B" w:rsidRDefault="00EB7A3F">
            <w:pPr>
              <w:pStyle w:val="NormalWeb"/>
              <w:spacing w:line="360" w:lineRule="auto"/>
              <w:jc w:val="center"/>
              <w:rPr>
                <w:sz w:val="22"/>
                <w:szCs w:val="22"/>
              </w:rPr>
            </w:pPr>
            <w:r>
              <w:rPr>
                <w:color w:val="000000"/>
                <w:sz w:val="22"/>
                <w:szCs w:val="22"/>
              </w:rPr>
              <w:t xml:space="preserve"> 4</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7BF37BA" w14:textId="77777777" w:rsidR="0099599B" w:rsidRDefault="00EB7A3F">
            <w:pPr>
              <w:pStyle w:val="NormalWeb"/>
              <w:spacing w:line="360" w:lineRule="auto"/>
              <w:jc w:val="center"/>
              <w:rPr>
                <w:sz w:val="22"/>
                <w:szCs w:val="22"/>
              </w:rPr>
            </w:pPr>
            <w:r>
              <w:rPr>
                <w:color w:val="000000"/>
                <w:sz w:val="22"/>
                <w:szCs w:val="22"/>
              </w:rPr>
              <w:t xml:space="preserve"> 6</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DC9A26D" w14:textId="77777777" w:rsidR="0099599B" w:rsidRDefault="00EB7A3F">
            <w:pPr>
              <w:pStyle w:val="NormalWeb"/>
              <w:spacing w:line="360" w:lineRule="auto"/>
              <w:jc w:val="center"/>
              <w:rPr>
                <w:sz w:val="22"/>
                <w:szCs w:val="22"/>
              </w:rPr>
            </w:pPr>
            <w:r>
              <w:rPr>
                <w:color w:val="000000"/>
                <w:sz w:val="22"/>
                <w:szCs w:val="22"/>
              </w:rPr>
              <w:t>1</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B6910DA" w14:textId="77777777" w:rsidR="0099599B" w:rsidRDefault="00EB7A3F">
            <w:pPr>
              <w:pStyle w:val="NormalWeb"/>
              <w:spacing w:line="360" w:lineRule="auto"/>
              <w:jc w:val="center"/>
              <w:rPr>
                <w:sz w:val="22"/>
                <w:szCs w:val="22"/>
              </w:rPr>
            </w:pPr>
            <w:r>
              <w:rPr>
                <w:color w:val="000000"/>
                <w:sz w:val="22"/>
                <w:szCs w:val="22"/>
              </w:rPr>
              <w:t>1</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8B872B5" w14:textId="77777777" w:rsidR="0099599B" w:rsidRDefault="00EB7A3F">
            <w:pPr>
              <w:pStyle w:val="NormalWeb"/>
              <w:spacing w:line="360" w:lineRule="auto"/>
              <w:jc w:val="center"/>
              <w:rPr>
                <w:sz w:val="22"/>
                <w:szCs w:val="22"/>
              </w:rPr>
            </w:pPr>
            <w:r>
              <w:rPr>
                <w:color w:val="000000"/>
                <w:sz w:val="22"/>
                <w:szCs w:val="22"/>
              </w:rPr>
              <w:t>0</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71558CE" w14:textId="77777777" w:rsidR="0099599B" w:rsidRDefault="00EB7A3F">
            <w:pPr>
              <w:pStyle w:val="NormalWeb"/>
              <w:spacing w:line="360" w:lineRule="auto"/>
              <w:jc w:val="center"/>
              <w:rPr>
                <w:sz w:val="22"/>
                <w:szCs w:val="22"/>
              </w:rPr>
            </w:pPr>
            <w:r>
              <w:rPr>
                <w:color w:val="000000"/>
                <w:sz w:val="22"/>
                <w:szCs w:val="22"/>
              </w:rPr>
              <w:t>0</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8FCA284" w14:textId="77777777" w:rsidR="0099599B" w:rsidRDefault="00EB7A3F">
            <w:pPr>
              <w:pStyle w:val="NormalWeb"/>
              <w:spacing w:line="360" w:lineRule="auto"/>
              <w:jc w:val="center"/>
              <w:rPr>
                <w:b/>
                <w:bCs/>
                <w:color w:val="0000FF"/>
                <w:sz w:val="22"/>
                <w:szCs w:val="22"/>
              </w:rPr>
            </w:pPr>
            <w:r>
              <w:rPr>
                <w:b/>
                <w:bCs/>
                <w:color w:val="0000FF"/>
                <w:sz w:val="22"/>
                <w:szCs w:val="22"/>
              </w:rPr>
              <w:t>2nd</w:t>
            </w:r>
          </w:p>
        </w:tc>
      </w:tr>
      <w:tr w:rsidR="0099599B" w14:paraId="5D2D8A15" w14:textId="77777777">
        <w:trPr>
          <w:trHeight w:val="370"/>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5AC1D05F" w14:textId="77777777" w:rsidR="0099599B" w:rsidRDefault="00EB7A3F">
            <w:pPr>
              <w:pStyle w:val="NormalWeb"/>
              <w:spacing w:line="360" w:lineRule="auto"/>
              <w:rPr>
                <w:sz w:val="22"/>
                <w:szCs w:val="22"/>
              </w:rPr>
            </w:pPr>
            <w:r>
              <w:rPr>
                <w:b/>
                <w:bCs/>
                <w:color w:val="000000"/>
                <w:sz w:val="22"/>
                <w:szCs w:val="22"/>
              </w:rPr>
              <w:t>4. Health and sanitation</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5863A0A8" w14:textId="77777777" w:rsidR="0099599B" w:rsidRDefault="00EB7A3F">
            <w:pPr>
              <w:pStyle w:val="NormalWeb"/>
              <w:spacing w:line="360" w:lineRule="auto"/>
              <w:jc w:val="center"/>
              <w:rPr>
                <w:sz w:val="22"/>
                <w:szCs w:val="22"/>
              </w:rPr>
            </w:pPr>
            <w:r>
              <w:rPr>
                <w:color w:val="000000"/>
                <w:sz w:val="22"/>
                <w:szCs w:val="22"/>
              </w:rPr>
              <w:t xml:space="preserve"> 2</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1172633" w14:textId="77777777" w:rsidR="0099599B" w:rsidRDefault="00EB7A3F">
            <w:pPr>
              <w:pStyle w:val="NormalWeb"/>
              <w:spacing w:line="360" w:lineRule="auto"/>
              <w:jc w:val="center"/>
              <w:rPr>
                <w:sz w:val="22"/>
                <w:szCs w:val="22"/>
              </w:rPr>
            </w:pPr>
            <w:r>
              <w:rPr>
                <w:color w:val="000000"/>
                <w:sz w:val="22"/>
                <w:szCs w:val="22"/>
              </w:rPr>
              <w:t xml:space="preserve"> 4</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70212BD8" w14:textId="77777777" w:rsidR="0099599B" w:rsidRDefault="00EB7A3F">
            <w:pPr>
              <w:pStyle w:val="NormalWeb"/>
              <w:spacing w:line="360" w:lineRule="auto"/>
              <w:jc w:val="center"/>
              <w:rPr>
                <w:sz w:val="22"/>
                <w:szCs w:val="22"/>
              </w:rPr>
            </w:pPr>
            <w:r>
              <w:rPr>
                <w:color w:val="000000"/>
                <w:sz w:val="22"/>
                <w:szCs w:val="22"/>
              </w:rPr>
              <w:t xml:space="preserve"> 6</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39BFBF3" w14:textId="77777777" w:rsidR="0099599B" w:rsidRDefault="00EB7A3F">
            <w:pPr>
              <w:pStyle w:val="NormalWeb"/>
              <w:spacing w:line="360" w:lineRule="auto"/>
              <w:jc w:val="center"/>
              <w:rPr>
                <w:sz w:val="22"/>
                <w:szCs w:val="22"/>
              </w:rPr>
            </w:pPr>
            <w:r>
              <w:rPr>
                <w:color w:val="000000"/>
                <w:sz w:val="22"/>
                <w:szCs w:val="22"/>
              </w:rPr>
              <w:t xml:space="preserve"> 1</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521D6FAB" w14:textId="77777777" w:rsidR="0099599B" w:rsidRDefault="00EB7A3F">
            <w:pPr>
              <w:pStyle w:val="NormalWeb"/>
              <w:spacing w:line="360" w:lineRule="auto"/>
              <w:jc w:val="center"/>
              <w:rPr>
                <w:sz w:val="22"/>
                <w:szCs w:val="22"/>
              </w:rPr>
            </w:pPr>
            <w:r>
              <w:rPr>
                <w:color w:val="000000"/>
                <w:sz w:val="22"/>
                <w:szCs w:val="22"/>
              </w:rPr>
              <w:t>2</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E51DD85" w14:textId="77777777" w:rsidR="0099599B" w:rsidRDefault="00EB7A3F">
            <w:pPr>
              <w:pStyle w:val="NormalWeb"/>
              <w:spacing w:line="360" w:lineRule="auto"/>
              <w:jc w:val="center"/>
              <w:rPr>
                <w:sz w:val="22"/>
                <w:szCs w:val="22"/>
              </w:rPr>
            </w:pPr>
            <w:r>
              <w:rPr>
                <w:color w:val="000000"/>
                <w:sz w:val="22"/>
                <w:szCs w:val="22"/>
              </w:rPr>
              <w:t>4</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5AC0E75" w14:textId="77777777" w:rsidR="0099599B" w:rsidRDefault="00EB7A3F">
            <w:pPr>
              <w:pStyle w:val="NormalWeb"/>
              <w:spacing w:line="360" w:lineRule="auto"/>
              <w:jc w:val="center"/>
              <w:rPr>
                <w:sz w:val="22"/>
                <w:szCs w:val="22"/>
              </w:rPr>
            </w:pPr>
            <w:r>
              <w:rPr>
                <w:color w:val="000000"/>
                <w:sz w:val="22"/>
                <w:szCs w:val="22"/>
              </w:rPr>
              <w:t>0</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4B381DC" w14:textId="77777777" w:rsidR="0099599B" w:rsidRDefault="00EB7A3F">
            <w:pPr>
              <w:pStyle w:val="NormalWeb"/>
              <w:spacing w:line="360" w:lineRule="auto"/>
              <w:jc w:val="center"/>
              <w:rPr>
                <w:sz w:val="22"/>
                <w:szCs w:val="22"/>
              </w:rPr>
            </w:pPr>
            <w:r>
              <w:rPr>
                <w:color w:val="000000"/>
                <w:sz w:val="22"/>
                <w:szCs w:val="22"/>
              </w:rPr>
              <w:t>2</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589A938" w14:textId="77777777" w:rsidR="0099599B" w:rsidRDefault="00EB7A3F">
            <w:pPr>
              <w:pStyle w:val="NormalWeb"/>
              <w:spacing w:line="360" w:lineRule="auto"/>
              <w:jc w:val="center"/>
              <w:rPr>
                <w:b/>
                <w:bCs/>
                <w:color w:val="0000FF"/>
                <w:sz w:val="22"/>
                <w:szCs w:val="22"/>
              </w:rPr>
            </w:pPr>
            <w:r>
              <w:rPr>
                <w:b/>
                <w:bCs/>
                <w:color w:val="0000FF"/>
                <w:sz w:val="22"/>
                <w:szCs w:val="22"/>
              </w:rPr>
              <w:t>5th</w:t>
            </w:r>
          </w:p>
        </w:tc>
      </w:tr>
      <w:tr w:rsidR="0099599B" w14:paraId="2AB9CCDC" w14:textId="77777777">
        <w:trPr>
          <w:trHeight w:val="343"/>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37171F12" w14:textId="77777777" w:rsidR="0099599B" w:rsidRDefault="00EB7A3F">
            <w:pPr>
              <w:pStyle w:val="NormalWeb"/>
              <w:spacing w:line="360" w:lineRule="auto"/>
              <w:rPr>
                <w:sz w:val="22"/>
                <w:szCs w:val="22"/>
              </w:rPr>
            </w:pPr>
            <w:r>
              <w:rPr>
                <w:b/>
                <w:bCs/>
                <w:color w:val="000000"/>
                <w:sz w:val="22"/>
                <w:szCs w:val="22"/>
              </w:rPr>
              <w:t>5. Forestry and Acquatic Biodiversity</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D0FCE68" w14:textId="77777777" w:rsidR="0099599B" w:rsidRDefault="00EB7A3F">
            <w:pPr>
              <w:pStyle w:val="NormalWeb"/>
              <w:spacing w:line="360" w:lineRule="auto"/>
              <w:jc w:val="center"/>
              <w:rPr>
                <w:sz w:val="22"/>
                <w:szCs w:val="22"/>
              </w:rPr>
            </w:pPr>
            <w:r>
              <w:rPr>
                <w:color w:val="000000"/>
                <w:sz w:val="22"/>
                <w:szCs w:val="22"/>
              </w:rPr>
              <w:t xml:space="preserve"> 0</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26E2F98" w14:textId="77777777" w:rsidR="0099599B" w:rsidRDefault="00EB7A3F">
            <w:pPr>
              <w:pStyle w:val="NormalWeb"/>
              <w:spacing w:line="360" w:lineRule="auto"/>
              <w:jc w:val="center"/>
              <w:rPr>
                <w:sz w:val="22"/>
                <w:szCs w:val="22"/>
              </w:rPr>
            </w:pPr>
            <w:r>
              <w:rPr>
                <w:color w:val="000000"/>
                <w:sz w:val="22"/>
                <w:szCs w:val="22"/>
              </w:rPr>
              <w:t xml:space="preserve"> 0</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8249C75" w14:textId="77777777" w:rsidR="0099599B" w:rsidRDefault="00EB7A3F">
            <w:pPr>
              <w:pStyle w:val="NormalWeb"/>
              <w:spacing w:line="360" w:lineRule="auto"/>
              <w:jc w:val="center"/>
              <w:rPr>
                <w:sz w:val="22"/>
                <w:szCs w:val="22"/>
              </w:rPr>
            </w:pPr>
            <w:r>
              <w:rPr>
                <w:color w:val="000000"/>
                <w:sz w:val="22"/>
                <w:szCs w:val="22"/>
              </w:rPr>
              <w:t xml:space="preserve"> 2</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F92FDDC" w14:textId="77777777" w:rsidR="0099599B" w:rsidRDefault="00EB7A3F">
            <w:pPr>
              <w:pStyle w:val="NormalWeb"/>
              <w:spacing w:line="360" w:lineRule="auto"/>
              <w:jc w:val="center"/>
              <w:rPr>
                <w:sz w:val="22"/>
                <w:szCs w:val="22"/>
              </w:rPr>
            </w:pPr>
            <w:r>
              <w:rPr>
                <w:color w:val="000000"/>
                <w:sz w:val="22"/>
                <w:szCs w:val="22"/>
              </w:rPr>
              <w:t xml:space="preserve"> 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521B419" w14:textId="77777777" w:rsidR="0099599B" w:rsidRDefault="00EB7A3F">
            <w:pPr>
              <w:pStyle w:val="NormalWeb"/>
              <w:spacing w:line="360" w:lineRule="auto"/>
              <w:jc w:val="center"/>
              <w:rPr>
                <w:sz w:val="22"/>
                <w:szCs w:val="22"/>
              </w:rPr>
            </w:pPr>
            <w:r>
              <w:rPr>
                <w:color w:val="000000"/>
                <w:sz w:val="22"/>
                <w:szCs w:val="22"/>
              </w:rPr>
              <w:t>5</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7906C805" w14:textId="77777777" w:rsidR="0099599B" w:rsidRDefault="00EB7A3F">
            <w:pPr>
              <w:pStyle w:val="NormalWeb"/>
              <w:spacing w:line="360" w:lineRule="auto"/>
              <w:jc w:val="center"/>
              <w:rPr>
                <w:sz w:val="22"/>
                <w:szCs w:val="22"/>
              </w:rPr>
            </w:pPr>
            <w:r>
              <w:rPr>
                <w:color w:val="000000"/>
                <w:sz w:val="22"/>
                <w:szCs w:val="22"/>
              </w:rPr>
              <w:t>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43456B7" w14:textId="77777777" w:rsidR="0099599B" w:rsidRDefault="00EB7A3F">
            <w:pPr>
              <w:pStyle w:val="NormalWeb"/>
              <w:spacing w:line="360" w:lineRule="auto"/>
              <w:jc w:val="center"/>
              <w:rPr>
                <w:sz w:val="22"/>
                <w:szCs w:val="22"/>
              </w:rPr>
            </w:pPr>
            <w:r>
              <w:rPr>
                <w:color w:val="000000"/>
                <w:sz w:val="22"/>
                <w:szCs w:val="22"/>
              </w:rPr>
              <w:t>6</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6EF575D" w14:textId="77777777" w:rsidR="0099599B" w:rsidRDefault="00EB7A3F">
            <w:pPr>
              <w:pStyle w:val="NormalWeb"/>
              <w:spacing w:line="360" w:lineRule="auto"/>
              <w:jc w:val="center"/>
              <w:rPr>
                <w:sz w:val="22"/>
                <w:szCs w:val="22"/>
              </w:rPr>
            </w:pPr>
            <w:r>
              <w:rPr>
                <w:color w:val="000000"/>
                <w:sz w:val="22"/>
                <w:szCs w:val="22"/>
              </w:rPr>
              <w:t>0</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6F75D0F" w14:textId="77777777" w:rsidR="0099599B" w:rsidRDefault="00EB7A3F">
            <w:pPr>
              <w:pStyle w:val="NormalWeb"/>
              <w:spacing w:line="360" w:lineRule="auto"/>
              <w:jc w:val="center"/>
              <w:rPr>
                <w:b/>
                <w:bCs/>
                <w:color w:val="0000FF"/>
                <w:sz w:val="22"/>
                <w:szCs w:val="22"/>
              </w:rPr>
            </w:pPr>
            <w:r>
              <w:rPr>
                <w:b/>
                <w:bCs/>
                <w:color w:val="0000FF"/>
                <w:sz w:val="22"/>
                <w:szCs w:val="22"/>
              </w:rPr>
              <w:t>6th</w:t>
            </w:r>
          </w:p>
        </w:tc>
      </w:tr>
      <w:tr w:rsidR="0099599B" w14:paraId="6DEB0D4E" w14:textId="77777777">
        <w:trPr>
          <w:trHeight w:val="296"/>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34F4E78B" w14:textId="77777777" w:rsidR="0099599B" w:rsidRDefault="00EB7A3F">
            <w:pPr>
              <w:pStyle w:val="NormalWeb"/>
              <w:spacing w:line="360" w:lineRule="auto"/>
              <w:rPr>
                <w:sz w:val="22"/>
                <w:szCs w:val="22"/>
              </w:rPr>
            </w:pPr>
            <w:r>
              <w:rPr>
                <w:b/>
                <w:bCs/>
                <w:color w:val="000000"/>
                <w:sz w:val="22"/>
                <w:szCs w:val="22"/>
              </w:rPr>
              <w:t>6. Disaster Risk Reduction</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2638E3F" w14:textId="77777777" w:rsidR="0099599B" w:rsidRDefault="00EB7A3F">
            <w:pPr>
              <w:pStyle w:val="NormalWeb"/>
              <w:spacing w:line="360" w:lineRule="auto"/>
              <w:jc w:val="center"/>
              <w:rPr>
                <w:sz w:val="22"/>
                <w:szCs w:val="22"/>
              </w:rPr>
            </w:pPr>
            <w:r>
              <w:rPr>
                <w:color w:val="000000"/>
                <w:sz w:val="22"/>
                <w:szCs w:val="22"/>
              </w:rPr>
              <w:t xml:space="preserve"> 0</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054DD0E" w14:textId="77777777" w:rsidR="0099599B" w:rsidRDefault="00EB7A3F">
            <w:pPr>
              <w:pStyle w:val="NormalWeb"/>
              <w:spacing w:line="360" w:lineRule="auto"/>
              <w:jc w:val="center"/>
              <w:rPr>
                <w:sz w:val="22"/>
                <w:szCs w:val="22"/>
              </w:rPr>
            </w:pPr>
            <w:r>
              <w:rPr>
                <w:color w:val="000000"/>
                <w:sz w:val="22"/>
                <w:szCs w:val="22"/>
              </w:rPr>
              <w:t xml:space="preserve"> 1</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2B13794" w14:textId="77777777" w:rsidR="0099599B" w:rsidRDefault="00EB7A3F">
            <w:pPr>
              <w:pStyle w:val="NormalWeb"/>
              <w:spacing w:line="360" w:lineRule="auto"/>
              <w:jc w:val="center"/>
              <w:rPr>
                <w:sz w:val="22"/>
                <w:szCs w:val="22"/>
              </w:rPr>
            </w:pPr>
            <w:r>
              <w:rPr>
                <w:color w:val="000000"/>
                <w:sz w:val="22"/>
                <w:szCs w:val="22"/>
              </w:rPr>
              <w:t xml:space="preserve"> 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3AE0C46" w14:textId="77777777" w:rsidR="0099599B" w:rsidRDefault="00EB7A3F">
            <w:pPr>
              <w:pStyle w:val="NormalWeb"/>
              <w:spacing w:line="360" w:lineRule="auto"/>
              <w:jc w:val="center"/>
              <w:rPr>
                <w:sz w:val="22"/>
                <w:szCs w:val="22"/>
              </w:rPr>
            </w:pPr>
            <w:r>
              <w:rPr>
                <w:color w:val="000000"/>
                <w:sz w:val="22"/>
                <w:szCs w:val="22"/>
              </w:rPr>
              <w:t xml:space="preserve"> 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719954C" w14:textId="77777777" w:rsidR="0099599B" w:rsidRDefault="00EB7A3F">
            <w:pPr>
              <w:pStyle w:val="NormalWeb"/>
              <w:spacing w:line="360" w:lineRule="auto"/>
              <w:jc w:val="center"/>
              <w:rPr>
                <w:sz w:val="22"/>
                <w:szCs w:val="22"/>
              </w:rPr>
            </w:pPr>
            <w:r>
              <w:rPr>
                <w:color w:val="000000"/>
                <w:sz w:val="22"/>
                <w:szCs w:val="22"/>
              </w:rPr>
              <w:t>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5B816378" w14:textId="77777777" w:rsidR="0099599B" w:rsidRDefault="00EB7A3F">
            <w:pPr>
              <w:pStyle w:val="NormalWeb"/>
              <w:spacing w:line="360" w:lineRule="auto"/>
              <w:jc w:val="center"/>
              <w:rPr>
                <w:sz w:val="22"/>
                <w:szCs w:val="22"/>
              </w:rPr>
            </w:pPr>
            <w:r>
              <w:rPr>
                <w:color w:val="000000"/>
                <w:sz w:val="22"/>
                <w:szCs w:val="22"/>
              </w:rPr>
              <w:t>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DD1CACA" w14:textId="77777777" w:rsidR="0099599B" w:rsidRDefault="00EB7A3F">
            <w:pPr>
              <w:pStyle w:val="NormalWeb"/>
              <w:spacing w:line="360" w:lineRule="auto"/>
              <w:jc w:val="center"/>
              <w:rPr>
                <w:sz w:val="22"/>
                <w:szCs w:val="22"/>
              </w:rPr>
            </w:pPr>
            <w:r>
              <w:rPr>
                <w:color w:val="000000"/>
                <w:sz w:val="22"/>
                <w:szCs w:val="22"/>
              </w:rPr>
              <w:t>2</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45D52D7" w14:textId="77777777" w:rsidR="0099599B" w:rsidRDefault="00EB7A3F">
            <w:pPr>
              <w:pStyle w:val="NormalWeb"/>
              <w:spacing w:line="360" w:lineRule="auto"/>
              <w:jc w:val="center"/>
              <w:rPr>
                <w:sz w:val="22"/>
                <w:szCs w:val="22"/>
              </w:rPr>
            </w:pPr>
            <w:r>
              <w:rPr>
                <w:color w:val="000000"/>
                <w:sz w:val="22"/>
                <w:szCs w:val="22"/>
              </w:rPr>
              <w:t>5</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B3FE96E" w14:textId="77777777" w:rsidR="0099599B" w:rsidRDefault="00EB7A3F">
            <w:pPr>
              <w:pStyle w:val="NormalWeb"/>
              <w:spacing w:line="360" w:lineRule="auto"/>
              <w:jc w:val="center"/>
              <w:rPr>
                <w:b/>
                <w:bCs/>
                <w:color w:val="0000FF"/>
                <w:sz w:val="22"/>
                <w:szCs w:val="22"/>
              </w:rPr>
            </w:pPr>
            <w:r>
              <w:rPr>
                <w:b/>
                <w:bCs/>
                <w:color w:val="0000FF"/>
                <w:sz w:val="22"/>
                <w:szCs w:val="22"/>
              </w:rPr>
              <w:t>4th</w:t>
            </w:r>
          </w:p>
        </w:tc>
      </w:tr>
      <w:tr w:rsidR="0099599B" w14:paraId="028750A5" w14:textId="77777777">
        <w:trPr>
          <w:trHeight w:val="283"/>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6D6A5C33" w14:textId="77777777" w:rsidR="0099599B" w:rsidRDefault="00EB7A3F">
            <w:pPr>
              <w:pStyle w:val="NormalWeb"/>
              <w:spacing w:line="360" w:lineRule="auto"/>
              <w:rPr>
                <w:sz w:val="22"/>
                <w:szCs w:val="22"/>
              </w:rPr>
            </w:pPr>
            <w:r>
              <w:rPr>
                <w:b/>
                <w:bCs/>
                <w:color w:val="000000"/>
                <w:sz w:val="22"/>
                <w:szCs w:val="22"/>
              </w:rPr>
              <w:t>7. Gender</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45FFBE7" w14:textId="77777777" w:rsidR="0099599B" w:rsidRDefault="00EB7A3F">
            <w:pPr>
              <w:pStyle w:val="NormalWeb"/>
              <w:spacing w:line="360" w:lineRule="auto"/>
              <w:jc w:val="center"/>
              <w:rPr>
                <w:sz w:val="22"/>
                <w:szCs w:val="22"/>
              </w:rPr>
            </w:pPr>
            <w:r>
              <w:rPr>
                <w:color w:val="000000"/>
                <w:sz w:val="22"/>
                <w:szCs w:val="22"/>
              </w:rPr>
              <w:t>0</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14F8BA3" w14:textId="77777777" w:rsidR="0099599B" w:rsidRDefault="00EB7A3F">
            <w:pPr>
              <w:pStyle w:val="NormalWeb"/>
              <w:spacing w:line="360" w:lineRule="auto"/>
              <w:jc w:val="center"/>
              <w:rPr>
                <w:sz w:val="22"/>
                <w:szCs w:val="22"/>
              </w:rPr>
            </w:pPr>
            <w:r>
              <w:rPr>
                <w:color w:val="000000"/>
                <w:sz w:val="22"/>
                <w:szCs w:val="22"/>
              </w:rPr>
              <w:t>3</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33ACA0F7" w14:textId="77777777" w:rsidR="0099599B" w:rsidRDefault="00EB7A3F">
            <w:pPr>
              <w:pStyle w:val="NormalWeb"/>
              <w:spacing w:line="360" w:lineRule="auto"/>
              <w:jc w:val="center"/>
              <w:rPr>
                <w:sz w:val="22"/>
                <w:szCs w:val="22"/>
              </w:rPr>
            </w:pPr>
            <w:r>
              <w:rPr>
                <w:color w:val="000000"/>
                <w:sz w:val="22"/>
                <w:szCs w:val="22"/>
              </w:rPr>
              <w:t>2</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0A7F8C7" w14:textId="77777777" w:rsidR="0099599B" w:rsidRDefault="00EB7A3F">
            <w:pPr>
              <w:pStyle w:val="NormalWeb"/>
              <w:spacing w:line="360" w:lineRule="auto"/>
              <w:jc w:val="center"/>
              <w:rPr>
                <w:sz w:val="22"/>
                <w:szCs w:val="22"/>
              </w:rPr>
            </w:pPr>
            <w:r>
              <w:rPr>
                <w:color w:val="000000"/>
                <w:sz w:val="22"/>
                <w:szCs w:val="22"/>
              </w:rPr>
              <w:t>3</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6FFA3FD" w14:textId="77777777" w:rsidR="0099599B" w:rsidRDefault="00EB7A3F">
            <w:pPr>
              <w:pStyle w:val="NormalWeb"/>
              <w:spacing w:line="360" w:lineRule="auto"/>
              <w:jc w:val="center"/>
              <w:rPr>
                <w:sz w:val="22"/>
                <w:szCs w:val="22"/>
              </w:rPr>
            </w:pPr>
            <w:r>
              <w:rPr>
                <w:color w:val="000000"/>
                <w:sz w:val="22"/>
                <w:szCs w:val="22"/>
              </w:rPr>
              <w:t>4</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5842F581" w14:textId="77777777" w:rsidR="0099599B" w:rsidRDefault="00EB7A3F">
            <w:pPr>
              <w:pStyle w:val="NormalWeb"/>
              <w:spacing w:line="360" w:lineRule="auto"/>
              <w:jc w:val="center"/>
              <w:rPr>
                <w:sz w:val="22"/>
                <w:szCs w:val="22"/>
              </w:rPr>
            </w:pPr>
            <w:r>
              <w:rPr>
                <w:color w:val="000000"/>
                <w:sz w:val="22"/>
                <w:szCs w:val="22"/>
              </w:rPr>
              <w:t>2</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BD13DF1" w14:textId="77777777" w:rsidR="0099599B" w:rsidRDefault="00EB7A3F">
            <w:pPr>
              <w:pStyle w:val="NormalWeb"/>
              <w:spacing w:line="360" w:lineRule="auto"/>
              <w:jc w:val="center"/>
              <w:rPr>
                <w:sz w:val="22"/>
                <w:szCs w:val="22"/>
              </w:rPr>
            </w:pPr>
            <w:r>
              <w:rPr>
                <w:color w:val="000000"/>
                <w:sz w:val="22"/>
                <w:szCs w:val="22"/>
              </w:rPr>
              <w:t>4</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542057E" w14:textId="77777777" w:rsidR="0099599B" w:rsidRDefault="00EB7A3F">
            <w:pPr>
              <w:pStyle w:val="NormalWeb"/>
              <w:spacing w:line="360" w:lineRule="auto"/>
              <w:jc w:val="center"/>
              <w:rPr>
                <w:sz w:val="22"/>
                <w:szCs w:val="22"/>
              </w:rPr>
            </w:pPr>
            <w:r>
              <w:rPr>
                <w:color w:val="000000"/>
                <w:sz w:val="22"/>
                <w:szCs w:val="22"/>
              </w:rPr>
              <w:t>2</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0D97C6E" w14:textId="77777777" w:rsidR="0099599B" w:rsidRDefault="00EB7A3F">
            <w:pPr>
              <w:pStyle w:val="NormalWeb"/>
              <w:spacing w:line="360" w:lineRule="auto"/>
              <w:jc w:val="center"/>
              <w:rPr>
                <w:b/>
                <w:bCs/>
                <w:color w:val="0000FF"/>
                <w:sz w:val="22"/>
                <w:szCs w:val="22"/>
              </w:rPr>
            </w:pPr>
            <w:r>
              <w:rPr>
                <w:b/>
                <w:bCs/>
                <w:color w:val="0000FF"/>
                <w:sz w:val="22"/>
                <w:szCs w:val="22"/>
              </w:rPr>
              <w:t>7th</w:t>
            </w:r>
          </w:p>
        </w:tc>
      </w:tr>
      <w:tr w:rsidR="0099599B" w14:paraId="4551039E" w14:textId="77777777">
        <w:trPr>
          <w:trHeight w:val="426"/>
        </w:trPr>
        <w:tc>
          <w:tcPr>
            <w:tcW w:w="1967" w:type="pct"/>
            <w:tcBorders>
              <w:top w:val="single" w:sz="4" w:space="0" w:color="000000"/>
              <w:left w:val="single" w:sz="4" w:space="0" w:color="000000"/>
              <w:bottom w:val="single" w:sz="4" w:space="0" w:color="000000"/>
              <w:right w:val="single" w:sz="4" w:space="0" w:color="000000"/>
            </w:tcBorders>
            <w:shd w:val="clear" w:color="auto" w:fill="D7D7D7"/>
            <w:tcMar>
              <w:left w:w="108" w:type="dxa"/>
              <w:right w:w="108" w:type="dxa"/>
            </w:tcMar>
          </w:tcPr>
          <w:p w14:paraId="1C2D84C3" w14:textId="77777777" w:rsidR="0099599B" w:rsidRDefault="00EB7A3F">
            <w:pPr>
              <w:pStyle w:val="NormalWeb"/>
              <w:spacing w:line="360" w:lineRule="auto"/>
              <w:rPr>
                <w:sz w:val="22"/>
                <w:szCs w:val="22"/>
              </w:rPr>
            </w:pPr>
            <w:r>
              <w:rPr>
                <w:b/>
                <w:bCs/>
                <w:color w:val="000000"/>
                <w:sz w:val="22"/>
                <w:szCs w:val="22"/>
              </w:rPr>
              <w:t>8. Tourism</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94AF6E0" w14:textId="77777777" w:rsidR="0099599B" w:rsidRDefault="00EB7A3F">
            <w:pPr>
              <w:pStyle w:val="NormalWeb"/>
              <w:spacing w:line="360" w:lineRule="auto"/>
              <w:jc w:val="center"/>
              <w:rPr>
                <w:sz w:val="22"/>
                <w:szCs w:val="22"/>
              </w:rPr>
            </w:pPr>
            <w:r>
              <w:rPr>
                <w:color w:val="000000"/>
                <w:sz w:val="22"/>
                <w:szCs w:val="22"/>
              </w:rPr>
              <w:t>0</w:t>
            </w:r>
          </w:p>
        </w:tc>
        <w:tc>
          <w:tcPr>
            <w:tcW w:w="320"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6BEDA52C" w14:textId="77777777" w:rsidR="0099599B" w:rsidRDefault="00EB7A3F">
            <w:pPr>
              <w:pStyle w:val="NormalWeb"/>
              <w:spacing w:line="360" w:lineRule="auto"/>
              <w:jc w:val="center"/>
              <w:rPr>
                <w:sz w:val="22"/>
                <w:szCs w:val="22"/>
              </w:rPr>
            </w:pPr>
            <w:r>
              <w:rPr>
                <w:color w:val="000000"/>
                <w:sz w:val="22"/>
                <w:szCs w:val="22"/>
              </w:rPr>
              <w:t>0</w:t>
            </w:r>
          </w:p>
        </w:tc>
        <w:tc>
          <w:tcPr>
            <w:tcW w:w="30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6E672DC" w14:textId="77777777" w:rsidR="0099599B" w:rsidRDefault="00EB7A3F">
            <w:pPr>
              <w:pStyle w:val="NormalWeb"/>
              <w:spacing w:line="360" w:lineRule="auto"/>
              <w:jc w:val="center"/>
              <w:rPr>
                <w:sz w:val="22"/>
                <w:szCs w:val="22"/>
              </w:rPr>
            </w:pPr>
            <w:r>
              <w:rPr>
                <w:color w:val="000000"/>
                <w:sz w:val="22"/>
                <w:szCs w:val="22"/>
              </w:rPr>
              <w:t>0</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1D12EBA" w14:textId="77777777" w:rsidR="0099599B" w:rsidRDefault="00EB7A3F">
            <w:pPr>
              <w:pStyle w:val="NormalWeb"/>
              <w:spacing w:line="360" w:lineRule="auto"/>
              <w:jc w:val="center"/>
              <w:rPr>
                <w:sz w:val="22"/>
                <w:szCs w:val="22"/>
              </w:rPr>
            </w:pPr>
            <w:r>
              <w:rPr>
                <w:color w:val="000000"/>
                <w:sz w:val="22"/>
                <w:szCs w:val="22"/>
              </w:rPr>
              <w:t>0</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70FA5003" w14:textId="77777777" w:rsidR="0099599B" w:rsidRDefault="00EB7A3F">
            <w:pPr>
              <w:pStyle w:val="NormalWeb"/>
              <w:spacing w:line="360" w:lineRule="auto"/>
              <w:jc w:val="center"/>
              <w:rPr>
                <w:sz w:val="22"/>
                <w:szCs w:val="22"/>
              </w:rPr>
            </w:pPr>
            <w:r>
              <w:rPr>
                <w:color w:val="000000"/>
                <w:sz w:val="22"/>
                <w:szCs w:val="22"/>
              </w:rPr>
              <w:t>0</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4DDC7701" w14:textId="77777777" w:rsidR="0099599B" w:rsidRDefault="00EB7A3F">
            <w:pPr>
              <w:pStyle w:val="NormalWeb"/>
              <w:spacing w:line="360" w:lineRule="auto"/>
              <w:jc w:val="center"/>
              <w:rPr>
                <w:sz w:val="22"/>
                <w:szCs w:val="22"/>
              </w:rPr>
            </w:pPr>
            <w:r>
              <w:rPr>
                <w:color w:val="000000"/>
                <w:sz w:val="22"/>
                <w:szCs w:val="22"/>
              </w:rPr>
              <w:t>1</w:t>
            </w:r>
          </w:p>
        </w:tc>
        <w:tc>
          <w:tcPr>
            <w:tcW w:w="327"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1DCE3B34" w14:textId="77777777" w:rsidR="0099599B" w:rsidRDefault="00EB7A3F">
            <w:pPr>
              <w:pStyle w:val="NormalWeb"/>
              <w:spacing w:line="360" w:lineRule="auto"/>
              <w:jc w:val="center"/>
              <w:rPr>
                <w:sz w:val="22"/>
                <w:szCs w:val="22"/>
              </w:rPr>
            </w:pPr>
            <w:r>
              <w:rPr>
                <w:color w:val="000000"/>
                <w:sz w:val="22"/>
                <w:szCs w:val="22"/>
              </w:rPr>
              <w:t>7</w:t>
            </w:r>
          </w:p>
        </w:tc>
        <w:tc>
          <w:tcPr>
            <w:tcW w:w="362"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0BC20B91" w14:textId="77777777" w:rsidR="0099599B" w:rsidRDefault="00EB7A3F">
            <w:pPr>
              <w:pStyle w:val="NormalWeb"/>
              <w:spacing w:line="360" w:lineRule="auto"/>
              <w:jc w:val="center"/>
              <w:rPr>
                <w:sz w:val="22"/>
                <w:szCs w:val="22"/>
              </w:rPr>
            </w:pPr>
            <w:r>
              <w:rPr>
                <w:color w:val="000000"/>
                <w:sz w:val="22"/>
                <w:szCs w:val="22"/>
              </w:rPr>
              <w:t>12</w:t>
            </w:r>
          </w:p>
        </w:tc>
        <w:tc>
          <w:tcPr>
            <w:tcW w:w="399" w:type="pct"/>
            <w:tcBorders>
              <w:top w:val="single" w:sz="4" w:space="0" w:color="000000"/>
              <w:left w:val="single" w:sz="4" w:space="0" w:color="000000"/>
              <w:bottom w:val="single" w:sz="4" w:space="0" w:color="000000"/>
              <w:right w:val="single" w:sz="4" w:space="0" w:color="000000"/>
            </w:tcBorders>
            <w:tcMar>
              <w:left w:w="108" w:type="dxa"/>
              <w:right w:w="108" w:type="dxa"/>
            </w:tcMar>
          </w:tcPr>
          <w:p w14:paraId="2E426CB4" w14:textId="77777777" w:rsidR="0099599B" w:rsidRDefault="00EB7A3F">
            <w:pPr>
              <w:pStyle w:val="NormalWeb"/>
              <w:spacing w:line="360" w:lineRule="auto"/>
              <w:jc w:val="center"/>
              <w:rPr>
                <w:b/>
                <w:bCs/>
                <w:color w:val="0000FF"/>
                <w:sz w:val="22"/>
                <w:szCs w:val="22"/>
              </w:rPr>
            </w:pPr>
            <w:r>
              <w:rPr>
                <w:b/>
                <w:bCs/>
                <w:color w:val="0000FF"/>
                <w:sz w:val="22"/>
                <w:szCs w:val="22"/>
              </w:rPr>
              <w:t>8th</w:t>
            </w:r>
          </w:p>
        </w:tc>
      </w:tr>
    </w:tbl>
    <w:p w14:paraId="50049026" w14:textId="77777777" w:rsidR="0099599B" w:rsidRDefault="0099599B">
      <w:pPr>
        <w:spacing w:line="360" w:lineRule="auto"/>
      </w:pPr>
    </w:p>
    <w:p w14:paraId="5A1AF425" w14:textId="77777777" w:rsidR="0099599B" w:rsidRDefault="00EB7A3F">
      <w:pPr>
        <w:pStyle w:val="Heading4"/>
        <w:spacing w:line="360" w:lineRule="auto"/>
        <w:rPr>
          <w:color w:val="47D459" w:themeColor="accent3" w:themeTint="99"/>
        </w:rPr>
      </w:pPr>
      <w:r>
        <w:rPr>
          <w:color w:val="47D459" w:themeColor="accent3" w:themeTint="99"/>
        </w:rPr>
        <w:t>3.2.3.3 Hazards and associated impacts on vulnerable groups (with focus on gender specific impacts)</w:t>
      </w:r>
    </w:p>
    <w:p w14:paraId="57151053" w14:textId="77777777" w:rsidR="0099599B" w:rsidRDefault="00EB7A3F">
      <w:pPr>
        <w:pStyle w:val="NormalWeb"/>
        <w:spacing w:line="360" w:lineRule="auto"/>
        <w:jc w:val="both"/>
      </w:pPr>
      <w:r>
        <w:t>Using information generated from stakeholder group presentations on the impacts of climate hazards on vulnerable populations, the study finds that the vulnerability profile of Ada East District illustrates how hazards such as erratic rainfall, floods, tidal waves, and droughts intersect with existing livelihood activities, producing differentiated impacts across gender and social groups. Men, women, children, and marginalized populations experience these hazards differently, with women often bearing disprop</w:t>
      </w:r>
      <w:r>
        <w:t>ortionate burdens due to their roles in agriculture, trading, water management, and household responsibilities.</w:t>
      </w:r>
    </w:p>
    <w:p w14:paraId="5E2014AC" w14:textId="77777777" w:rsidR="0099599B" w:rsidRDefault="00EB7A3F">
      <w:pPr>
        <w:pStyle w:val="NormalWeb"/>
        <w:spacing w:line="360" w:lineRule="auto"/>
        <w:jc w:val="both"/>
      </w:pPr>
      <w:r>
        <w:t xml:space="preserve">Erratic rainfall and prolonged droughts disrupt the agricultural calendar, undermining planting and harvesting activities. For men, this leads to reduced yields in maize production and livestock herding. Women, who are heavily engaged in vegetable farming and post-harvest processing, face income losses that directly affect household food security. Their workload intensifies as they spend longer hours sourcing water for both farming and domestic needs, compounding the stress of agricultural losses. Cultural </w:t>
      </w:r>
      <w:r>
        <w:t>expectations around food provision further heighten women’s vulnerability when rainfall becomes unreliable.</w:t>
      </w:r>
    </w:p>
    <w:p w14:paraId="0FC5E021" w14:textId="77777777" w:rsidR="0099599B" w:rsidRDefault="00EB7A3F">
      <w:pPr>
        <w:pStyle w:val="NormalWeb"/>
        <w:spacing w:line="360" w:lineRule="auto"/>
        <w:jc w:val="both"/>
      </w:pPr>
      <w:r>
        <w:t xml:space="preserve">Flooding events and tidal surges are among the most severe hazards in coastal and island communities such as Azizanya, Kasseh, and Atortorkope. Men frequently lose assets such as fishing boats and nets, while women engaged in fish processing and trading face equally devastating losses when stored fish products are destroyed. Floods also damage homes and cause displacement, placing additional caregiving responsibilities on women and girls, often at the </w:t>
      </w:r>
      <w:r>
        <w:lastRenderedPageBreak/>
        <w:t>expense of their education and personal well-being. Children are particularly affected, as frequent school closures and damaged educational infrastructure disrupt learning and create long-term disadvantages.</w:t>
      </w:r>
    </w:p>
    <w:p w14:paraId="35341D11" w14:textId="77777777" w:rsidR="0099599B" w:rsidRDefault="00EB7A3F">
      <w:pPr>
        <w:pStyle w:val="NormalWeb"/>
        <w:spacing w:line="360" w:lineRule="auto"/>
        <w:jc w:val="both"/>
      </w:pPr>
      <w:r>
        <w:t>Tidal waves and sea-level rise further compound vulnerabilities by salinizing farmland and contaminating freshwater sources. Men are affected through reduced fishing and farming productivity, while women face heightened risk due to their primary responsibilities for water collection and household nutrition. Loss of mangroves and other protective ecosystems increases exposure for women traders and processors along the coast, leading to recurring livelihood disruptions. Persons with disabilities and other mar</w:t>
      </w:r>
      <w:r>
        <w:t>ginalized groups also experience exclusion from recovery efforts, limiting their capacity to rebuild after disasters.</w:t>
      </w:r>
    </w:p>
    <w:p w14:paraId="2B4BEF2B" w14:textId="77777777" w:rsidR="0099599B" w:rsidRDefault="00EB7A3F">
      <w:pPr>
        <w:spacing w:line="360" w:lineRule="auto"/>
      </w:pPr>
      <w:r>
        <w:rPr>
          <w:noProof/>
        </w:rPr>
        <w:drawing>
          <wp:inline distT="0" distB="0" distL="114300" distR="114300" wp14:anchorId="6C812573" wp14:editId="31869C7F">
            <wp:extent cx="5793105" cy="3154045"/>
            <wp:effectExtent l="0" t="0" r="13335" b="6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pic:cNvPicPr>
                  </pic:nvPicPr>
                  <pic:blipFill>
                    <a:blip r:embed="rId25"/>
                    <a:stretch>
                      <a:fillRect/>
                    </a:stretch>
                  </pic:blipFill>
                  <pic:spPr>
                    <a:xfrm>
                      <a:off x="0" y="0"/>
                      <a:ext cx="5793105" cy="3154045"/>
                    </a:xfrm>
                    <a:prstGeom prst="rect">
                      <a:avLst/>
                    </a:prstGeom>
                    <a:noFill/>
                    <a:ln>
                      <a:noFill/>
                    </a:ln>
                  </pic:spPr>
                </pic:pic>
              </a:graphicData>
            </a:graphic>
          </wp:inline>
        </w:drawing>
      </w:r>
    </w:p>
    <w:p w14:paraId="1B22FDDE" w14:textId="77777777" w:rsidR="0099599B" w:rsidRDefault="00EB7A3F">
      <w:pPr>
        <w:pStyle w:val="Caption"/>
        <w:spacing w:line="360" w:lineRule="auto"/>
        <w:rPr>
          <w:rFonts w:cs="Times New Roman"/>
        </w:rPr>
      </w:pPr>
      <w:r>
        <w:t xml:space="preserve">Figure </w:t>
      </w:r>
      <w:r>
        <w:fldChar w:fldCharType="begin"/>
      </w:r>
      <w:r>
        <w:instrText xml:space="preserve"> SEQ Figure \* ARABIC </w:instrText>
      </w:r>
      <w:r>
        <w:fldChar w:fldCharType="separate"/>
      </w:r>
      <w:r>
        <w:t>7</w:t>
      </w:r>
      <w:r>
        <w:fldChar w:fldCharType="end"/>
      </w:r>
      <w:bookmarkStart w:id="38" w:name="_Toc20440"/>
      <w:r>
        <w:rPr>
          <w:rFonts w:cs="Times New Roman"/>
        </w:rPr>
        <w:t>: Stakeholders Ranking on the Impact of Climate Hazards on Gender groups</w:t>
      </w:r>
      <w:bookmarkEnd w:id="38"/>
    </w:p>
    <w:p w14:paraId="2871FECC" w14:textId="77777777" w:rsidR="0099599B" w:rsidRDefault="0099599B">
      <w:pPr>
        <w:spacing w:line="360" w:lineRule="auto"/>
      </w:pPr>
    </w:p>
    <w:p w14:paraId="3848A716" w14:textId="77777777" w:rsidR="0099599B" w:rsidRDefault="00EB7A3F">
      <w:pPr>
        <w:pStyle w:val="Heading3"/>
        <w:spacing w:line="360" w:lineRule="auto"/>
      </w:pPr>
      <w:r>
        <w:t xml:space="preserve">3.2.4. Assessing Resilience of Communities using a Matrix of Functions </w:t>
      </w:r>
    </w:p>
    <w:p w14:paraId="563EBBB3" w14:textId="77777777" w:rsidR="0099599B" w:rsidRDefault="00EB7A3F">
      <w:pPr>
        <w:spacing w:line="360" w:lineRule="auto"/>
        <w:jc w:val="both"/>
        <w:rPr>
          <w:lang w:eastAsia="en-GB"/>
        </w:rPr>
      </w:pPr>
      <w:r>
        <w:rPr>
          <w:lang w:eastAsia="en-GB"/>
        </w:rPr>
        <w:t xml:space="preserve">The Matrix of Function (MoF) is a spatial planning tool that describes or signals aspects of adaptive capacity. When applied to climate change, the MoF enhances understanding of how the district’s current spatial structure enables or constrains its adaptive capacity and resilience to climate-related </w:t>
      </w:r>
      <w:r>
        <w:rPr>
          <w:lang w:eastAsia="en-GB"/>
        </w:rPr>
        <w:lastRenderedPageBreak/>
        <w:t>changes and impacts. The approach involves identifying climate hazards—such as droughts, floods, or heatwaves—and mapping them against essential functions that may be affected. This process helps reveal sectoral vulnerabilities and pinpoint critical areas where adaptation or mitigation interventions are needed.</w:t>
      </w:r>
    </w:p>
    <w:p w14:paraId="3FB3B185" w14:textId="77777777" w:rsidR="0099599B" w:rsidRDefault="00EB7A3F">
      <w:pPr>
        <w:spacing w:line="360" w:lineRule="auto"/>
        <w:jc w:val="both"/>
        <w:rPr>
          <w:lang w:eastAsia="en-GB"/>
        </w:rPr>
      </w:pPr>
      <w:r>
        <w:rPr>
          <w:lang w:eastAsia="en-GB"/>
        </w:rPr>
        <w:t>For Ada East District, the MoF provides a detailed overview of the availability and distribution of services across communities, highlighting both strengths and gaps that shape local adaptive capacity. Public utilities and facilities remain unevenly distributed: basic services such as pipe-borne water, functional wells, and grid electricity are present in some towns but not consistently across all communities. Access to stormwater drainage and sewerage systems is particularly limited, heightening vulnerabil</w:t>
      </w:r>
      <w:r>
        <w:rPr>
          <w:lang w:eastAsia="en-GB"/>
        </w:rPr>
        <w:t>ity during floods. While some households rely on private solar panels and rainwater harvesting, these remain isolated solutions rather than district-wide systems. Connectivity and communication infrastructure, including post offices and radio stations, is sporadic, resulting in uneven access to information and external linkages across communities.</w:t>
      </w:r>
    </w:p>
    <w:p w14:paraId="6BAE1FF1" w14:textId="77777777" w:rsidR="0099599B" w:rsidRDefault="00EB7A3F">
      <w:pPr>
        <w:spacing w:line="360" w:lineRule="auto"/>
        <w:jc w:val="both"/>
        <w:rPr>
          <w:lang w:eastAsia="en-GB"/>
        </w:rPr>
      </w:pPr>
      <w:r>
        <w:rPr>
          <w:rFonts w:ascii="Times New Roman Bold" w:hAnsi="Times New Roman Bold" w:cs="Times New Roman Bold"/>
          <w:b/>
          <w:bCs/>
          <w:i/>
          <w:iCs/>
          <w:lang w:eastAsia="en-GB"/>
        </w:rPr>
        <w:t xml:space="preserve">Transport: </w:t>
      </w:r>
      <w:r>
        <w:rPr>
          <w:lang w:eastAsia="en-GB"/>
        </w:rPr>
        <w:t>Transport and road infrastructure in Ada East reveal notable imbalances. While both tarred and untarred roads exist, their reach does not extend to all settlements, and public transport services are inconsistently reliable across the district. Bus stations and petrol filling stations are concentrated in larger towns, limiting smaller communities’ integration into district trade and service networks. Markets play a central role in the district’s economy; local markets are common, but specialized livestock an</w:t>
      </w:r>
      <w:r>
        <w:rPr>
          <w:lang w:eastAsia="en-GB"/>
        </w:rPr>
        <w:t>d fish markets are absent in many areas, restricting opportunities for fishers and farmers to trade beyond subsistence levels and constraining economic diversification.</w:t>
      </w:r>
    </w:p>
    <w:p w14:paraId="120C5E95" w14:textId="77777777" w:rsidR="0099599B" w:rsidRDefault="00EB7A3F">
      <w:pPr>
        <w:spacing w:line="360" w:lineRule="auto"/>
        <w:jc w:val="both"/>
        <w:rPr>
          <w:lang w:eastAsia="en-GB"/>
        </w:rPr>
      </w:pPr>
      <w:r>
        <w:rPr>
          <w:rFonts w:ascii="Times New Roman Bold" w:hAnsi="Times New Roman Bold" w:cs="Times New Roman Bold"/>
          <w:b/>
          <w:bCs/>
          <w:i/>
          <w:iCs/>
          <w:lang w:eastAsia="en-GB"/>
        </w:rPr>
        <w:t xml:space="preserve">Commercial Activities: </w:t>
      </w:r>
      <w:r>
        <w:rPr>
          <w:lang w:eastAsia="en-GB"/>
        </w:rPr>
        <w:t>Commercial establishments highlight the importance of informal and small-scale enterprises. Small stalls for basic goods and restaurants or chop bars are present across many communities, but larger establishments—such as hotels, guesthouses, and financial services—are concentrated in a few towns. Limited access to banks and mobile money services creates barriers to local entrepreneurship and reduces community resilience during shocks, as households struggle with savings, remittances, and access to credit.</w:t>
      </w:r>
    </w:p>
    <w:p w14:paraId="7F9541AF" w14:textId="77777777" w:rsidR="0099599B" w:rsidRDefault="00EB7A3F">
      <w:pPr>
        <w:spacing w:line="360" w:lineRule="auto"/>
        <w:jc w:val="both"/>
        <w:rPr>
          <w:lang w:eastAsia="en-GB"/>
        </w:rPr>
      </w:pPr>
      <w:r>
        <w:rPr>
          <w:rFonts w:ascii="Times New Roman Bold" w:hAnsi="Times New Roman Bold" w:cs="Times New Roman Bold"/>
          <w:b/>
          <w:bCs/>
          <w:i/>
          <w:iCs/>
          <w:lang w:eastAsia="en-GB"/>
        </w:rPr>
        <w:t xml:space="preserve">Ecosystem Services: </w:t>
      </w:r>
      <w:r>
        <w:rPr>
          <w:lang w:eastAsia="en-GB"/>
        </w:rPr>
        <w:t xml:space="preserve">Provisioning ecosystem services underpin livelihoods in Ada East, with rice, maize, vegetables, and livestock widely cultivated or reared. However, production systems remain largely basic, with limited irrigation support and heavy reliance on rain-fed agriculture, leaving farmers highly vulnerable to rainfall variability. Livelihood diversity exists through activities such </w:t>
      </w:r>
      <w:r>
        <w:rPr>
          <w:lang w:eastAsia="en-GB"/>
        </w:rPr>
        <w:lastRenderedPageBreak/>
        <w:t>as charcoal production, herbal medicine, and oil extraction, but these are not systematically supported by infrastructure or market syst</w:t>
      </w:r>
      <w:r>
        <w:rPr>
          <w:lang w:eastAsia="en-GB"/>
        </w:rPr>
        <w:t>ems.</w:t>
      </w:r>
    </w:p>
    <w:p w14:paraId="1C05C253" w14:textId="77777777" w:rsidR="0099599B" w:rsidRDefault="00EB7A3F">
      <w:pPr>
        <w:spacing w:line="360" w:lineRule="auto"/>
        <w:jc w:val="both"/>
        <w:rPr>
          <w:lang w:eastAsia="en-GB"/>
        </w:rPr>
      </w:pPr>
      <w:r>
        <w:rPr>
          <w:rFonts w:ascii="Times New Roman Bold" w:hAnsi="Times New Roman Bold" w:cs="Times New Roman Bold"/>
          <w:b/>
          <w:bCs/>
          <w:i/>
          <w:iCs/>
          <w:lang w:eastAsia="en-GB"/>
        </w:rPr>
        <w:t xml:space="preserve">Healthcare: </w:t>
      </w:r>
      <w:r>
        <w:rPr>
          <w:lang w:eastAsia="en-GB"/>
        </w:rPr>
        <w:t>Health services exhibit another layer of uneven development. Community-based Health Planning and Services (CHPS) compounds and clinics exist, but public hospitals are limited to a few towns, and specialized medical staff such as dentists, midwives, and eye specialists are scarce. Pharmacies provide essential support where present, but the limited availability of advanced medical services forces many households to travel outside the district for care. Educational institutions follow a similar trend: kinderga</w:t>
      </w:r>
      <w:r>
        <w:rPr>
          <w:lang w:eastAsia="en-GB"/>
        </w:rPr>
        <w:t xml:space="preserve">rtens, primary schools, and junior high schools are available in many settlements, while secondary and vocational schools are concentrated in larger towns. </w:t>
      </w:r>
    </w:p>
    <w:p w14:paraId="23FCA56C" w14:textId="77777777" w:rsidR="0099599B" w:rsidRDefault="00EB7A3F">
      <w:pPr>
        <w:spacing w:line="360" w:lineRule="auto"/>
        <w:jc w:val="both"/>
        <w:rPr>
          <w:lang w:eastAsia="en-GB"/>
        </w:rPr>
      </w:pPr>
      <w:r>
        <w:rPr>
          <w:rFonts w:ascii="Times New Roman Bold" w:hAnsi="Times New Roman Bold" w:cs="Times New Roman Bold"/>
          <w:b/>
          <w:bCs/>
          <w:i/>
          <w:iCs/>
          <w:lang w:eastAsia="en-GB"/>
        </w:rPr>
        <w:t xml:space="preserve">Cultural and Recreational Activities: </w:t>
      </w:r>
      <w:r>
        <w:rPr>
          <w:lang w:eastAsia="en-GB"/>
        </w:rPr>
        <w:t>Recreational and cultural facilities—including libraries, museums, and cultural centers—are largely absent, limiting knowledge sharing and cultural preservation. Security services are partially provided through police stations and checkpoints, but fire stations, evacuation points, and disaster management structures are underdeveloped, a concern given the district’s vulnerability to floods, tidal surges, and erosion. Community and religious organizations, particularly churches and mosques, are widespread and</w:t>
      </w:r>
      <w:r>
        <w:rPr>
          <w:lang w:eastAsia="en-GB"/>
        </w:rPr>
        <w:t xml:space="preserve"> serve as important social anchors; however, organized NGOs, cooperatives, and civil society groups are less common, reducing opportunities for collective advocacy and coordinated climate action.</w:t>
      </w:r>
    </w:p>
    <w:p w14:paraId="2E62EDB6" w14:textId="77777777" w:rsidR="0099599B" w:rsidRDefault="00EB7A3F">
      <w:pPr>
        <w:spacing w:line="360" w:lineRule="auto"/>
        <w:jc w:val="both"/>
        <w:rPr>
          <w:lang w:eastAsia="en-GB"/>
        </w:rPr>
      </w:pPr>
      <w:r>
        <w:rPr>
          <w:rFonts w:ascii="Times New Roman Bold" w:hAnsi="Times New Roman Bold" w:cs="Times New Roman Bold"/>
          <w:b/>
          <w:bCs/>
          <w:i/>
          <w:iCs/>
          <w:lang w:eastAsia="en-GB"/>
        </w:rPr>
        <w:t xml:space="preserve">Local Economy: </w:t>
      </w:r>
      <w:r>
        <w:rPr>
          <w:lang w:eastAsia="en-GB"/>
        </w:rPr>
        <w:t>Own-account workers, including fishermen, carpenters, street vendors, and seamstresses, remain critical to Ada East’s local economy. These groups sustain household incomes through small-scale trades but face significant risks due to dependence on natural resources and limited financial or technical support. The absence of specialized professionals—such as accountants, licensed electricians, and plumbers—in many communities further underscores gaps in service diversity and economic specialization.</w:t>
      </w:r>
    </w:p>
    <w:p w14:paraId="244631EA" w14:textId="77777777" w:rsidR="0099599B" w:rsidRDefault="00EB7A3F">
      <w:pPr>
        <w:spacing w:line="360" w:lineRule="auto"/>
        <w:jc w:val="both"/>
        <w:rPr>
          <w:lang w:eastAsia="en-GB"/>
        </w:rPr>
      </w:pPr>
      <w:r>
        <w:rPr>
          <w:lang w:eastAsia="en-GB"/>
        </w:rPr>
        <w:t>The matrix demonstrates that Ada East’s development is spatially uneven, with larger towns concentrating most infrastructure and services, while smaller communities remain underserved. This imbalance undermines the district’s adaptive capacity, as communities with fewer services and weaker institutional presence are less able to respond to climate-related shocks. Strengthening access to water, health facilities, educational institutions, financial services, and investing in ecosystem management and infrastr</w:t>
      </w:r>
      <w:r>
        <w:rPr>
          <w:lang w:eastAsia="en-GB"/>
        </w:rPr>
        <w:t xml:space="preserve">ucture are critical steps toward balancing spatial development </w:t>
      </w:r>
      <w:r>
        <w:rPr>
          <w:lang w:eastAsia="en-GB"/>
        </w:rPr>
        <w:lastRenderedPageBreak/>
        <w:t xml:space="preserve">and enhancing resilience across the district. The summarised matrix of function from the stakeholders is showed in the </w:t>
      </w:r>
      <w:r>
        <w:rPr>
          <w:b/>
          <w:bCs/>
          <w:lang w:eastAsia="en-GB"/>
        </w:rPr>
        <w:t>Appendix (</w:t>
      </w:r>
      <w:r>
        <w:rPr>
          <w:b/>
          <w:bCs/>
          <w:i/>
          <w:iCs/>
          <w:color w:val="0000FF"/>
          <w:lang w:eastAsia="en-GB"/>
        </w:rPr>
        <w:fldChar w:fldCharType="begin"/>
      </w:r>
      <w:r>
        <w:rPr>
          <w:b/>
          <w:bCs/>
          <w:i/>
          <w:iCs/>
          <w:color w:val="0000FF"/>
          <w:lang w:eastAsia="en-GB"/>
        </w:rPr>
        <w:instrText xml:space="preserve"> REF _Ref24439 \h  \* MERGEFORMAT </w:instrText>
      </w:r>
      <w:r>
        <w:rPr>
          <w:b/>
          <w:bCs/>
          <w:i/>
          <w:iCs/>
          <w:color w:val="0000FF"/>
          <w:lang w:eastAsia="en-GB"/>
        </w:rPr>
      </w:r>
      <w:r>
        <w:rPr>
          <w:b/>
          <w:bCs/>
          <w:i/>
          <w:iCs/>
          <w:color w:val="0000FF"/>
          <w:lang w:eastAsia="en-GB"/>
        </w:rPr>
        <w:fldChar w:fldCharType="separate"/>
      </w:r>
      <w:r>
        <w:rPr>
          <w:i/>
          <w:iCs/>
          <w:color w:val="0000FF"/>
        </w:rPr>
        <w:t>Annex 1</w:t>
      </w:r>
      <w:r>
        <w:rPr>
          <w:b/>
          <w:bCs/>
          <w:i/>
          <w:iCs/>
          <w:color w:val="0000FF"/>
          <w:lang w:eastAsia="en-GB"/>
        </w:rPr>
        <w:fldChar w:fldCharType="end"/>
      </w:r>
      <w:r>
        <w:rPr>
          <w:b/>
          <w:bCs/>
          <w:lang w:eastAsia="en-GB"/>
        </w:rPr>
        <w:t>)</w:t>
      </w:r>
    </w:p>
    <w:p w14:paraId="33F5ACD5" w14:textId="77777777" w:rsidR="0099599B" w:rsidRDefault="0099599B">
      <w:pPr>
        <w:spacing w:line="360" w:lineRule="auto"/>
      </w:pPr>
    </w:p>
    <w:p w14:paraId="72F44483" w14:textId="77777777" w:rsidR="0099599B" w:rsidRDefault="00EB7A3F">
      <w:pPr>
        <w:pStyle w:val="Heading2"/>
        <w:spacing w:line="360" w:lineRule="auto"/>
      </w:pPr>
      <w:bookmarkStart w:id="39" w:name="_Toc18960"/>
      <w:r>
        <w:t>3.3 Quantitative Assessment of Vulnerability to Current Climate Change</w:t>
      </w:r>
      <w:bookmarkEnd w:id="39"/>
      <w:r>
        <w:tab/>
      </w:r>
    </w:p>
    <w:p w14:paraId="1FF54D54" w14:textId="77777777" w:rsidR="0099599B" w:rsidRDefault="00EB7A3F">
      <w:pPr>
        <w:spacing w:line="360" w:lineRule="auto"/>
        <w:jc w:val="both"/>
        <w:rPr>
          <w:rFonts w:ascii="Times New Roman Regular" w:hAnsi="Times New Roman Regular" w:cs="Times New Roman Regular"/>
          <w:lang w:val="en-GB"/>
        </w:rPr>
      </w:pPr>
      <w:r>
        <w:rPr>
          <w:rFonts w:ascii="Times New Roman Regular" w:hAnsi="Times New Roman Regular" w:cs="Times New Roman Regular"/>
          <w:lang w:val="en-GB"/>
        </w:rPr>
        <w:t xml:space="preserve">This chapter presents the method (description of indicators derivation, data sources, data collection, data normalization, etc.) used to assess vulnerability. The results are presented in a descriptive approach of the VA in the </w:t>
      </w:r>
      <w:r>
        <w:rPr>
          <w:rFonts w:ascii="Times New Roman Regular" w:hAnsi="Times New Roman Regular" w:cs="Times New Roman Regular"/>
        </w:rPr>
        <w:t>district</w:t>
      </w:r>
      <w:r>
        <w:rPr>
          <w:rFonts w:ascii="Times New Roman Regular" w:hAnsi="Times New Roman Regular" w:cs="Times New Roman Regular"/>
          <w:lang w:val="en-GB"/>
        </w:rPr>
        <w:t xml:space="preserve">. </w:t>
      </w:r>
    </w:p>
    <w:p w14:paraId="20A44D2F"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t>3.3.1 VA method, process and tools</w:t>
      </w:r>
      <w:r>
        <w:rPr>
          <w:rFonts w:ascii="Times New Roman" w:hAnsi="Times New Roman" w:cs="Times New Roman"/>
        </w:rPr>
        <w:tab/>
      </w:r>
    </w:p>
    <w:p w14:paraId="5A31CA5B" w14:textId="77777777" w:rsidR="0099599B" w:rsidRDefault="00EB7A3F">
      <w:pPr>
        <w:pStyle w:val="Heading4"/>
        <w:spacing w:line="360" w:lineRule="auto"/>
        <w:rPr>
          <w:color w:val="47D459" w:themeColor="accent3" w:themeTint="99"/>
        </w:rPr>
      </w:pPr>
      <w:r>
        <w:rPr>
          <w:color w:val="47D459" w:themeColor="accent3" w:themeTint="99"/>
        </w:rPr>
        <w:t>3.3.1.1 Research design</w:t>
      </w:r>
      <w:r>
        <w:rPr>
          <w:color w:val="47D459" w:themeColor="accent3" w:themeTint="99"/>
        </w:rPr>
        <w:tab/>
      </w:r>
    </w:p>
    <w:p w14:paraId="432CED6F" w14:textId="77777777" w:rsidR="0099599B" w:rsidRDefault="00EB7A3F">
      <w:pPr>
        <w:pStyle w:val="NormalWeb"/>
        <w:spacing w:line="360" w:lineRule="auto"/>
        <w:jc w:val="both"/>
        <w:rPr>
          <w:kern w:val="2"/>
          <w:lang w:eastAsia="en-GB"/>
        </w:rPr>
      </w:pPr>
      <w:r>
        <w:rPr>
          <w:kern w:val="2"/>
          <w:lang w:eastAsia="en-GB"/>
        </w:rPr>
        <w:t xml:space="preserve">Assessing the vulnerability of Ada East District requires a pragmatic comparison with other geographic locations and populations while identifying the unique factors that shape the district’s exposure, sensitivity and adaptive capacity to climate change (Williams et al., 2020). Guided by the IPCC framework, the vulnerability assessment approach for Ada East was structured around the three interrelated concepts of exposure, sensitivity and adaptive capacity, with processes designed to ensure a participatory </w:t>
      </w:r>
      <w:r>
        <w:rPr>
          <w:kern w:val="2"/>
          <w:lang w:eastAsia="en-GB"/>
        </w:rPr>
        <w:t>and context-specific analysis.</w:t>
      </w:r>
    </w:p>
    <w:p w14:paraId="2D9D9624" w14:textId="77777777" w:rsidR="0099599B" w:rsidRDefault="00EB7A3F">
      <w:pPr>
        <w:pStyle w:val="NormalWeb"/>
        <w:spacing w:line="360" w:lineRule="auto"/>
        <w:jc w:val="both"/>
        <w:rPr>
          <w:kern w:val="2"/>
          <w:lang w:eastAsia="en-GB"/>
        </w:rPr>
      </w:pPr>
      <w:r>
        <w:rPr>
          <w:kern w:val="2"/>
          <w:lang w:eastAsia="en-GB"/>
        </w:rPr>
        <w:t xml:space="preserve">The first stage involved a </w:t>
      </w:r>
      <w:r>
        <w:rPr>
          <w:rFonts w:ascii="Times New Roman Bold" w:hAnsi="Times New Roman Bold" w:cs="Times New Roman Bold"/>
          <w:b/>
          <w:bCs/>
          <w:kern w:val="2"/>
          <w:lang w:eastAsia="en-GB"/>
        </w:rPr>
        <w:t>desktop review</w:t>
      </w:r>
      <w:r>
        <w:rPr>
          <w:kern w:val="2"/>
          <w:lang w:eastAsia="en-GB"/>
        </w:rPr>
        <w:t xml:space="preserve"> to establish an understanding of existing information and knowledge gaps relevant to Ada East’s climate vulnerabilities. The review provided a baseline by consolidating previous reports, climate data and socioeconomic information specific to the district. This exercise offered a comprehensive stocktake of what is already known about hazards such as floods, tidal surges, droughts and erosion and where new data collection efforts were necessary.</w:t>
      </w:r>
    </w:p>
    <w:p w14:paraId="11959C40" w14:textId="77777777" w:rsidR="0099599B" w:rsidRDefault="00EB7A3F">
      <w:pPr>
        <w:pStyle w:val="NormalWeb"/>
        <w:spacing w:line="360" w:lineRule="auto"/>
        <w:jc w:val="both"/>
        <w:rPr>
          <w:kern w:val="2"/>
          <w:lang w:eastAsia="en-GB"/>
        </w:rPr>
      </w:pPr>
      <w:r>
        <w:rPr>
          <w:kern w:val="2"/>
          <w:lang w:eastAsia="en-GB"/>
        </w:rPr>
        <w:t xml:space="preserve">This was followed by </w:t>
      </w:r>
      <w:r>
        <w:rPr>
          <w:rFonts w:ascii="Times New Roman Bold" w:hAnsi="Times New Roman Bold" w:cs="Times New Roman Bold"/>
          <w:b/>
          <w:bCs/>
          <w:kern w:val="2"/>
          <w:lang w:eastAsia="en-GB"/>
        </w:rPr>
        <w:t>stakeholder and expert consultations</w:t>
      </w:r>
      <w:r>
        <w:rPr>
          <w:kern w:val="2"/>
          <w:lang w:eastAsia="en-GB"/>
        </w:rPr>
        <w:t xml:space="preserve">, which drew on local insights and technical expertise. The consultations combined Key Informant Interviews with district officials, traditional authorities, women’s groups and representatives from fishing and farming associations. These interactions not only validated findings from the desk review but also uncovered additional </w:t>
      </w:r>
      <w:r>
        <w:rPr>
          <w:kern w:val="2"/>
          <w:lang w:eastAsia="en-GB"/>
        </w:rPr>
        <w:lastRenderedPageBreak/>
        <w:t>insights into the differentiated impacts of hazards across gender, age and livelihood groups. The consultations were conducted as part of Phase II</w:t>
      </w:r>
      <w:r>
        <w:rPr>
          <w:kern w:val="2"/>
          <w:lang w:eastAsia="en-GB"/>
        </w:rPr>
        <w:t xml:space="preserve"> of the vulnerability assessment, ensuring that community voices were central to shaping the narrative of risks and resilience.</w:t>
      </w:r>
      <w:r>
        <w:rPr>
          <w:kern w:val="2"/>
          <w:lang w:eastAsia="en-GB"/>
        </w:rPr>
        <w:t xml:space="preserve"> </w:t>
      </w:r>
      <w:r>
        <w:rPr>
          <w:kern w:val="2"/>
          <w:lang w:eastAsia="en-GB"/>
        </w:rPr>
        <w:t>By bringing together these perspectives, the workshop served as a mechanism to refine and expand identified vulnerability indicators while considering context-relevant additions.  The participatory and transparent nature of the workshop promoted stakeholder ownership of findings, enhanced awareness of local vulnerabilities and strengthened capacity to engage in future adaptation pl</w:t>
      </w:r>
      <w:r>
        <w:rPr>
          <w:kern w:val="2"/>
          <w:lang w:eastAsia="en-GB"/>
        </w:rPr>
        <w:t>anning.</w:t>
      </w:r>
    </w:p>
    <w:p w14:paraId="33980D6E" w14:textId="77777777" w:rsidR="0099599B" w:rsidRDefault="00EB7A3F">
      <w:pPr>
        <w:pStyle w:val="NormalWeb"/>
        <w:spacing w:line="360" w:lineRule="auto"/>
        <w:jc w:val="both"/>
        <w:rPr>
          <w:kern w:val="2"/>
          <w:lang w:eastAsia="en-GB"/>
        </w:rPr>
      </w:pPr>
      <w:r>
        <w:rPr>
          <w:kern w:val="2"/>
          <w:lang w:eastAsia="en-GB"/>
        </w:rPr>
        <w:t>Across all stages, the approach was designed to identify indicators that capture both climate and non-climate stressors, including those related to socioeconomic inequalities, access to resources and governance challenges. Data collection methods were guided by these indicators, ensuring a balance between quantitative information and qualitative insights from communities. Through this process, Ada East’s vulnerability assessment not only highlighted the multiple risks facing the district but also provided a</w:t>
      </w:r>
      <w:r>
        <w:rPr>
          <w:kern w:val="2"/>
          <w:lang w:eastAsia="en-GB"/>
        </w:rPr>
        <w:t xml:space="preserve"> foundation for prioritizing adaptation measures that are evidence-based, inclusive and sensitive to the differentiated needs of its population.</w:t>
      </w:r>
    </w:p>
    <w:p w14:paraId="6B48080E" w14:textId="77777777" w:rsidR="0099599B" w:rsidRDefault="0099599B">
      <w:pPr>
        <w:spacing w:line="360" w:lineRule="auto"/>
      </w:pPr>
    </w:p>
    <w:p w14:paraId="4569EBC9" w14:textId="77777777" w:rsidR="0099599B" w:rsidRDefault="00EB7A3F">
      <w:pPr>
        <w:pStyle w:val="Heading4"/>
        <w:spacing w:line="360" w:lineRule="auto"/>
        <w:rPr>
          <w:color w:val="47D459" w:themeColor="accent3" w:themeTint="99"/>
        </w:rPr>
      </w:pPr>
      <w:r>
        <w:rPr>
          <w:color w:val="47D459" w:themeColor="accent3" w:themeTint="99"/>
        </w:rPr>
        <w:t>3.3.1.2 Data collection for the community-based field survey</w:t>
      </w:r>
      <w:r>
        <w:rPr>
          <w:color w:val="47D459" w:themeColor="accent3" w:themeTint="99"/>
        </w:rPr>
        <w:tab/>
      </w:r>
    </w:p>
    <w:p w14:paraId="0B874AAD" w14:textId="77777777" w:rsidR="0099599B" w:rsidRDefault="00EB7A3F">
      <w:pPr>
        <w:pStyle w:val="Heading2"/>
        <w:spacing w:line="360" w:lineRule="auto"/>
      </w:pPr>
      <w:bookmarkStart w:id="40" w:name="_Toc22349"/>
      <w:r>
        <w:t>Sampling Methodology for Ada East District</w:t>
      </w:r>
      <w:bookmarkEnd w:id="40"/>
    </w:p>
    <w:p w14:paraId="60487B5A" w14:textId="77777777" w:rsidR="0099599B" w:rsidRDefault="00EB7A3F">
      <w:pPr>
        <w:pStyle w:val="NormalWeb"/>
        <w:spacing w:line="360" w:lineRule="auto"/>
        <w:jc w:val="both"/>
        <w:rPr>
          <w:kern w:val="2"/>
          <w:lang w:eastAsia="en-GB"/>
        </w:rPr>
      </w:pPr>
      <w:r>
        <w:rPr>
          <w:kern w:val="2"/>
          <w:lang w:eastAsia="en-GB"/>
        </w:rPr>
        <w:t>The sampling method for the household survey in Ada East District was based on probabilistic random sampling with equal distribution across all communities. This approach was chosen to ensure that the survey captured perspectives from households spread across the diverse geographical and socio-economic settings of the district. By allocating the same number of respondents to each community, the design accounted for representation across both larger and smaller settlements, while simplifying fieldwork logist</w:t>
      </w:r>
      <w:r>
        <w:rPr>
          <w:kern w:val="2"/>
          <w:lang w:eastAsia="en-GB"/>
        </w:rPr>
        <w:t>ics and ensuring balance in data collection. Within each selected community, households (head of household) were randomly chosen to participate in the survey, ensuring that men, women, youth and other vulnerable populations had an equal chance of being included in the study.</w:t>
      </w:r>
    </w:p>
    <w:p w14:paraId="57B127DA" w14:textId="77777777" w:rsidR="0099599B" w:rsidRDefault="00EB7A3F">
      <w:pPr>
        <w:pStyle w:val="NormalWeb"/>
        <w:spacing w:line="360" w:lineRule="auto"/>
        <w:jc w:val="both"/>
        <w:rPr>
          <w:kern w:val="2"/>
          <w:lang w:eastAsia="en-GB"/>
        </w:rPr>
      </w:pPr>
      <w:r>
        <w:rPr>
          <w:kern w:val="2"/>
          <w:lang w:eastAsia="en-GB"/>
        </w:rPr>
        <w:lastRenderedPageBreak/>
        <w:t>The population figures were sourced from the Ada East District Assembly Development Planning Unit. Using Cochran’s formula for a finite population (76,411), the following parameters were applied:</w:t>
      </w:r>
    </w:p>
    <w:p w14:paraId="4252AF36" w14:textId="77777777" w:rsidR="0099599B" w:rsidRDefault="00EB7A3F">
      <w:pPr>
        <w:numPr>
          <w:ilvl w:val="0"/>
          <w:numId w:val="9"/>
        </w:numPr>
        <w:tabs>
          <w:tab w:val="clear" w:pos="425"/>
        </w:tabs>
        <w:spacing w:line="360" w:lineRule="auto"/>
        <w:ind w:left="300" w:hanging="360"/>
        <w:rPr>
          <w:rFonts w:asciiTheme="majorBidi" w:hAnsiTheme="majorBidi" w:cstheme="majorBidi"/>
        </w:rPr>
      </w:pPr>
      <w:r>
        <w:rPr>
          <w:rFonts w:asciiTheme="majorBidi" w:hAnsiTheme="majorBidi"/>
        </w:rPr>
        <w:t xml:space="preserve">Cochran base </w:t>
      </w:r>
      <w:r>
        <w:rPr>
          <w:rFonts w:asciiTheme="majorBidi" w:hAnsiTheme="majorBidi" w:cstheme="majorBidi"/>
        </w:rPr>
        <w:t>n</w:t>
      </w:r>
      <w:r>
        <w:rPr>
          <w:rFonts w:asciiTheme="majorBidi" w:hAnsiTheme="majorBidi" w:cstheme="majorBidi"/>
          <w:vertAlign w:val="subscript"/>
        </w:rPr>
        <w:t>0</w:t>
      </w:r>
      <w:r>
        <w:rPr>
          <w:rFonts w:asciiTheme="majorBidi" w:hAnsiTheme="majorBidi" w:cstheme="majorBidi"/>
        </w:rPr>
        <w:t>= (</w:t>
      </w:r>
      <m:oMath>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Z</m:t>
                </m:r>
              </m:e>
              <m:sup>
                <m:r>
                  <w:rPr>
                    <w:rFonts w:ascii="Cambria Math" w:hAnsi="Cambria Math" w:cstheme="majorBidi"/>
                    <w:sz w:val="28"/>
                    <w:szCs w:val="28"/>
                  </w:rPr>
                  <m:t>2</m:t>
                </m:r>
              </m:sup>
            </m:sSup>
            <m:r>
              <w:rPr>
                <w:rFonts w:ascii="Cambria Math" w:hAnsi="Cambria Math" w:cstheme="majorBidi"/>
                <w:sz w:val="28"/>
                <w:szCs w:val="28"/>
              </w:rPr>
              <m:t xml:space="preserve"> </m:t>
            </m:r>
            <m:r>
              <w:rPr>
                <w:rFonts w:ascii="Cambria Math" w:hAnsi="Cambria Math" w:cstheme="majorBidi"/>
                <w:sz w:val="28"/>
                <w:szCs w:val="28"/>
              </w:rPr>
              <m:t>x</m:t>
            </m:r>
            <m:r>
              <w:rPr>
                <w:rFonts w:ascii="Cambria Math" w:hAnsi="Cambria Math" w:cstheme="majorBidi"/>
                <w:sz w:val="28"/>
                <w:szCs w:val="28"/>
              </w:rPr>
              <m:t xml:space="preserve"> </m:t>
            </m:r>
            <m:r>
              <w:rPr>
                <w:rFonts w:ascii="Cambria Math" w:hAnsi="Cambria Math" w:cstheme="majorBidi"/>
                <w:sz w:val="28"/>
                <w:szCs w:val="28"/>
              </w:rPr>
              <m:t>p</m:t>
            </m:r>
            <m:r>
              <w:rPr>
                <w:rFonts w:ascii="Cambria Math" w:hAnsi="Cambria Math" w:cstheme="majorBidi"/>
                <w:sz w:val="28"/>
                <w:szCs w:val="28"/>
              </w:rPr>
              <m:t>(1-</m:t>
            </m:r>
            <m:r>
              <w:rPr>
                <w:rFonts w:ascii="Cambria Math" w:hAnsi="Cambria Math" w:cstheme="majorBidi"/>
                <w:sz w:val="28"/>
                <w:szCs w:val="28"/>
              </w:rPr>
              <m:t>p</m:t>
            </m:r>
            <m:r>
              <w:rPr>
                <w:rFonts w:ascii="Cambria Math" w:hAnsi="Cambria Math" w:cstheme="majorBidi"/>
                <w:sz w:val="28"/>
                <w:szCs w:val="28"/>
              </w:rPr>
              <m:t>)</m:t>
            </m:r>
          </m:num>
          <m:den>
            <m:sSup>
              <m:sSupPr>
                <m:ctrlPr>
                  <w:rPr>
                    <w:rFonts w:ascii="Cambria Math" w:hAnsi="Cambria Math" w:cstheme="majorBidi"/>
                    <w:i/>
                    <w:sz w:val="28"/>
                    <w:szCs w:val="28"/>
                  </w:rPr>
                </m:ctrlPr>
              </m:sSupPr>
              <m:e>
                <m:r>
                  <w:rPr>
                    <w:rFonts w:ascii="Cambria Math" w:hAnsi="Cambria Math" w:cstheme="majorBidi"/>
                    <w:sz w:val="28"/>
                    <w:szCs w:val="28"/>
                  </w:rPr>
                  <m:t>e</m:t>
                </m:r>
              </m:e>
              <m:sup>
                <m:r>
                  <w:rPr>
                    <w:rFonts w:ascii="Cambria Math" w:hAnsi="Cambria Math" w:cstheme="majorBidi"/>
                    <w:sz w:val="28"/>
                    <w:szCs w:val="28"/>
                  </w:rPr>
                  <m:t>2</m:t>
                </m:r>
              </m:sup>
            </m:sSup>
          </m:den>
        </m:f>
        <m:r>
          <w:rPr>
            <w:rFonts w:ascii="Cambria Math" w:hAnsi="Cambria Math" w:cstheme="majorBidi"/>
            <w:sz w:val="28"/>
            <w:szCs w:val="28"/>
          </w:rPr>
          <m:t xml:space="preserve">  = </m:t>
        </m:r>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1.96</m:t>
                </m:r>
              </m:e>
              <m:sup>
                <m:r>
                  <w:rPr>
                    <w:rFonts w:ascii="Cambria Math" w:hAnsi="Cambria Math" w:cstheme="majorBidi"/>
                    <w:sz w:val="28"/>
                    <w:szCs w:val="28"/>
                  </w:rPr>
                  <m:t>2</m:t>
                </m:r>
              </m:sup>
            </m:sSup>
            <m:r>
              <w:rPr>
                <w:rFonts w:ascii="Cambria Math" w:hAnsi="Cambria Math" w:cstheme="majorBidi"/>
                <w:sz w:val="28"/>
                <w:szCs w:val="28"/>
              </w:rPr>
              <m:t xml:space="preserve"> </m:t>
            </m:r>
            <m:r>
              <w:rPr>
                <w:rFonts w:ascii="Cambria Math" w:hAnsi="Cambria Math" w:cstheme="majorBidi"/>
                <w:sz w:val="28"/>
                <w:szCs w:val="28"/>
              </w:rPr>
              <m:t>x</m:t>
            </m:r>
            <m:r>
              <w:rPr>
                <w:rFonts w:ascii="Cambria Math" w:hAnsi="Cambria Math" w:cstheme="majorBidi"/>
                <w:sz w:val="28"/>
                <w:szCs w:val="28"/>
              </w:rPr>
              <m:t xml:space="preserve"> 0.5(1-0.5)  </m:t>
            </m:r>
          </m:num>
          <m:den>
            <m:sSup>
              <m:sSupPr>
                <m:ctrlPr>
                  <w:rPr>
                    <w:rFonts w:ascii="Cambria Math" w:hAnsi="Cambria Math" w:cstheme="majorBidi"/>
                    <w:i/>
                    <w:sz w:val="28"/>
                    <w:szCs w:val="28"/>
                  </w:rPr>
                </m:ctrlPr>
              </m:sSupPr>
              <m:e>
                <m:r>
                  <w:rPr>
                    <w:rFonts w:ascii="Cambria Math" w:hAnsi="Cambria Math" w:cstheme="majorBidi"/>
                    <w:sz w:val="28"/>
                    <w:szCs w:val="28"/>
                  </w:rPr>
                  <m:t>0.05</m:t>
                </m:r>
              </m:e>
              <m:sup>
                <m:r>
                  <w:rPr>
                    <w:rFonts w:ascii="Cambria Math" w:hAnsi="Cambria Math" w:cstheme="majorBidi"/>
                    <w:sz w:val="28"/>
                    <w:szCs w:val="28"/>
                  </w:rPr>
                  <m:t>2</m:t>
                </m:r>
              </m:sup>
            </m:sSup>
          </m:den>
        </m:f>
        <m:r>
          <w:rPr>
            <w:rFonts w:ascii="Cambria Math" w:hAnsi="Cambria Math" w:cstheme="majorBidi"/>
            <w:sz w:val="28"/>
            <w:szCs w:val="28"/>
          </w:rPr>
          <m:t xml:space="preserve"> </m:t>
        </m:r>
        <m:r>
          <w:rPr>
            <w:rFonts w:ascii="Cambria Math" w:hAnsi="Cambria Math" w:cs="Cambria Math"/>
            <w:sz w:val="28"/>
            <w:szCs w:val="28"/>
          </w:rPr>
          <m:t>≈</m:t>
        </m:r>
        <m:r>
          <w:rPr>
            <w:rFonts w:ascii="Cambria Math" w:hAnsi="Cambria Math" w:cstheme="majorBidi"/>
            <w:sz w:val="28"/>
            <w:szCs w:val="28"/>
          </w:rPr>
          <m:t xml:space="preserve"> 384</m:t>
        </m:r>
      </m:oMath>
      <w:r>
        <w:rPr>
          <w:rFonts w:hAnsi="Cambria Math" w:cstheme="majorBidi"/>
          <w:sz w:val="28"/>
          <w:szCs w:val="28"/>
        </w:rPr>
        <w:t xml:space="preserve"> </w:t>
      </w:r>
      <w:r>
        <w:rPr>
          <w:rFonts w:asciiTheme="majorBidi" w:hAnsiTheme="majorBidi" w:cstheme="majorBidi"/>
          <w:sz w:val="28"/>
          <w:szCs w:val="28"/>
        </w:rPr>
        <w:t xml:space="preserve"> </w:t>
      </w:r>
    </w:p>
    <w:p w14:paraId="79187C5C" w14:textId="77777777" w:rsidR="0099599B" w:rsidRDefault="00EB7A3F">
      <w:pPr>
        <w:numPr>
          <w:ilvl w:val="0"/>
          <w:numId w:val="9"/>
        </w:numPr>
        <w:tabs>
          <w:tab w:val="clear" w:pos="425"/>
        </w:tabs>
        <w:spacing w:line="360" w:lineRule="auto"/>
        <w:ind w:left="300" w:hanging="360"/>
        <w:rPr>
          <w:rFonts w:asciiTheme="majorBidi" w:hAnsiTheme="majorBidi"/>
        </w:rPr>
      </w:pPr>
      <w:r>
        <w:rPr>
          <w:rFonts w:asciiTheme="majorBidi" w:hAnsiTheme="majorBidi"/>
        </w:rPr>
        <w:t>Adjusted Sample Size with Ada East  N=76,411</w:t>
      </w:r>
    </w:p>
    <w:p w14:paraId="3B67DC25" w14:textId="77777777" w:rsidR="0099599B" w:rsidRDefault="00EB7A3F">
      <w:pPr>
        <w:spacing w:line="360" w:lineRule="auto"/>
        <w:ind w:left="-60"/>
        <w:jc w:val="center"/>
        <w:rPr>
          <w:rFonts w:asciiTheme="majorBidi" w:hAnsiTheme="majorBidi"/>
        </w:rPr>
      </w:pPr>
      <w:r>
        <w:rPr>
          <w:rFonts w:asciiTheme="majorBidi" w:hAnsiTheme="majorBidi" w:cstheme="majorBidi"/>
        </w:rPr>
        <w:t>n= (</w:t>
      </w:r>
      <m:oMath>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n</m:t>
                </m:r>
              </m:e>
              <m:sub>
                <m:r>
                  <w:rPr>
                    <w:rFonts w:ascii="Cambria Math" w:hAnsi="Cambria Math" w:cstheme="majorBidi"/>
                    <w:sz w:val="28"/>
                    <w:szCs w:val="28"/>
                  </w:rPr>
                  <m:t>0</m:t>
                </m:r>
              </m:sub>
            </m:sSub>
          </m:num>
          <m:den>
            <m:r>
              <w:rPr>
                <w:rFonts w:ascii="Cambria Math" w:hAnsi="Cambria Math" w:cstheme="majorBidi"/>
                <w:sz w:val="28"/>
                <w:szCs w:val="28"/>
              </w:rPr>
              <m:t xml:space="preserve">1 + </m:t>
            </m:r>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n</m:t>
                    </m:r>
                  </m:e>
                  <m:sub>
                    <m:r>
                      <w:rPr>
                        <w:rFonts w:ascii="Cambria Math" w:hAnsi="Cambria Math" w:cstheme="majorBidi"/>
                        <w:sz w:val="28"/>
                        <w:szCs w:val="28"/>
                      </w:rPr>
                      <m:t>0-1</m:t>
                    </m:r>
                  </m:sub>
                </m:sSub>
              </m:num>
              <m:den>
                <m:r>
                  <w:rPr>
                    <w:rFonts w:ascii="Cambria Math" w:hAnsi="Cambria Math" w:cstheme="majorBidi"/>
                    <w:sz w:val="28"/>
                    <w:szCs w:val="28"/>
                  </w:rPr>
                  <m:t>N</m:t>
                </m:r>
              </m:den>
            </m:f>
          </m:den>
        </m:f>
        <m:r>
          <w:rPr>
            <w:rFonts w:ascii="Cambria Math" w:hAnsi="Cambria Math" w:cstheme="majorBidi"/>
            <w:sz w:val="28"/>
            <w:szCs w:val="28"/>
          </w:rPr>
          <m:t xml:space="preserve">  = </m:t>
        </m:r>
        <m:f>
          <m:fPr>
            <m:ctrlPr>
              <w:rPr>
                <w:rFonts w:ascii="Cambria Math" w:hAnsi="Cambria Math" w:cstheme="majorBidi"/>
                <w:i/>
                <w:sz w:val="28"/>
                <w:szCs w:val="28"/>
              </w:rPr>
            </m:ctrlPr>
          </m:fPr>
          <m:num>
            <m:r>
              <w:rPr>
                <w:rFonts w:ascii="Cambria Math" w:hAnsi="Cambria Math" w:cstheme="majorBidi"/>
                <w:sz w:val="28"/>
                <w:szCs w:val="28"/>
              </w:rPr>
              <m:t>384</m:t>
            </m:r>
          </m:num>
          <m:den>
            <m:r>
              <w:rPr>
                <w:rFonts w:ascii="Cambria Math" w:hAnsi="Cambria Math" w:cstheme="majorBidi"/>
                <w:sz w:val="28"/>
                <w:szCs w:val="28"/>
              </w:rPr>
              <m:t xml:space="preserve">1 + </m:t>
            </m:r>
            <m:f>
              <m:fPr>
                <m:ctrlPr>
                  <w:rPr>
                    <w:rFonts w:ascii="Cambria Math" w:hAnsi="Cambria Math" w:cstheme="majorBidi"/>
                    <w:i/>
                    <w:sz w:val="28"/>
                    <w:szCs w:val="28"/>
                  </w:rPr>
                </m:ctrlPr>
              </m:fPr>
              <m:num>
                <m:r>
                  <w:rPr>
                    <w:rFonts w:ascii="Cambria Math" w:hAnsi="Cambria Math" w:cstheme="majorBidi"/>
                    <w:sz w:val="28"/>
                    <w:szCs w:val="28"/>
                  </w:rPr>
                  <m:t>383</m:t>
                </m:r>
              </m:num>
              <m:den>
                <m:r>
                  <w:rPr>
                    <w:rFonts w:ascii="Cambria Math" w:hAnsi="Cambria Math" w:cstheme="majorBidi"/>
                    <w:sz w:val="28"/>
                    <w:szCs w:val="28"/>
                  </w:rPr>
                  <m:t>76,411</m:t>
                </m:r>
              </m:den>
            </m:f>
          </m:den>
        </m:f>
        <m:r>
          <w:rPr>
            <w:rFonts w:ascii="Cambria Math" w:hAnsi="Cambria Math" w:cstheme="majorBidi"/>
            <w:sz w:val="28"/>
            <w:szCs w:val="28"/>
          </w:rPr>
          <m:t xml:space="preserve"> </m:t>
        </m:r>
        <m:r>
          <w:rPr>
            <w:rFonts w:ascii="Cambria Math" w:hAnsi="Cambria Math" w:cs="Cambria Math"/>
            <w:sz w:val="28"/>
            <w:szCs w:val="28"/>
          </w:rPr>
          <m:t>≈</m:t>
        </m:r>
        <m:r>
          <w:rPr>
            <w:rFonts w:ascii="Cambria Math" w:hAnsi="Cambria Math" w:cstheme="majorBidi"/>
            <w:sz w:val="28"/>
            <w:szCs w:val="28"/>
          </w:rPr>
          <m:t xml:space="preserve"> 382</m:t>
        </m:r>
      </m:oMath>
    </w:p>
    <w:p w14:paraId="1A7541B3" w14:textId="77777777" w:rsidR="0099599B" w:rsidRDefault="00EB7A3F">
      <w:pPr>
        <w:pStyle w:val="NormalWeb"/>
        <w:spacing w:line="360" w:lineRule="auto"/>
      </w:pPr>
      <w:r>
        <w:rPr>
          <w:rStyle w:val="Strong"/>
          <w:b w:val="0"/>
          <w:bCs w:val="0"/>
        </w:rPr>
        <w:t>Where, Z value</w:t>
      </w:r>
      <w:r>
        <w:t xml:space="preserve"> = 1.96 for a 95% confidence level; </w:t>
      </w:r>
      <w:r>
        <w:rPr>
          <w:rStyle w:val="Strong"/>
          <w:b w:val="0"/>
          <w:bCs w:val="0"/>
        </w:rPr>
        <w:t>Population Proportion (p)</w:t>
      </w:r>
      <w:r>
        <w:t xml:space="preserve"> = 50% amd </w:t>
      </w:r>
      <w:r>
        <w:rPr>
          <w:rStyle w:val="Strong"/>
          <w:b w:val="0"/>
          <w:bCs w:val="0"/>
        </w:rPr>
        <w:t>Margin of error (e)</w:t>
      </w:r>
      <w:r>
        <w:t xml:space="preserve"> = 0.05</w:t>
      </w:r>
    </w:p>
    <w:p w14:paraId="1F6623BB" w14:textId="77777777" w:rsidR="0099599B" w:rsidRDefault="00EB7A3F">
      <w:pPr>
        <w:pStyle w:val="NormalWeb"/>
        <w:spacing w:line="360" w:lineRule="auto"/>
        <w:jc w:val="both"/>
        <w:rPr>
          <w:kern w:val="2"/>
          <w:lang w:eastAsia="en-GB"/>
        </w:rPr>
      </w:pPr>
      <w:r>
        <w:rPr>
          <w:kern w:val="2"/>
          <w:lang w:eastAsia="en-GB"/>
        </w:rPr>
        <w:t>This yielded an adjusted minimum sample size of 382 households heads. The allocation of the sample across the 12 communities of Ada East was based on a non-proportional distribution. However, to account for potential non-responses, missing data and errors during fieldwork, the survey sample size was rounded up to 420 households assigning an equal quota of 35 respondents per community. This ensures robustness of the results and maintains the desired level of confidence and precision after data cleaning.</w:t>
      </w:r>
    </w:p>
    <w:p w14:paraId="2C757D26" w14:textId="77777777" w:rsidR="0099599B" w:rsidRDefault="00EB7A3F">
      <w:pPr>
        <w:pStyle w:val="Caption"/>
        <w:spacing w:line="360" w:lineRule="auto"/>
      </w:pPr>
      <w:r>
        <w:t xml:space="preserve">Table </w:t>
      </w:r>
      <w:r>
        <w:fldChar w:fldCharType="begin"/>
      </w:r>
      <w:r>
        <w:instrText xml:space="preserve"> SEQ Table \* ARABIC </w:instrText>
      </w:r>
      <w:r>
        <w:fldChar w:fldCharType="separate"/>
      </w:r>
      <w:r>
        <w:t>3</w:t>
      </w:r>
      <w:r>
        <w:fldChar w:fldCharType="end"/>
      </w:r>
      <w:bookmarkStart w:id="41" w:name="_Toc10162"/>
      <w:r>
        <w:t>: Population Sampling for Ada East District</w:t>
      </w:r>
      <w:bookmarkEnd w:id="41"/>
    </w:p>
    <w:tbl>
      <w:tblPr>
        <w:tblW w:w="4995" w:type="pct"/>
        <w:tblLook w:val="04A0" w:firstRow="1" w:lastRow="0" w:firstColumn="1" w:lastColumn="0" w:noHBand="0" w:noVBand="1"/>
      </w:tblPr>
      <w:tblGrid>
        <w:gridCol w:w="2589"/>
        <w:gridCol w:w="4142"/>
        <w:gridCol w:w="2600"/>
      </w:tblGrid>
      <w:tr w:rsidR="0099599B" w14:paraId="2CDE5827" w14:textId="77777777">
        <w:trPr>
          <w:trHeight w:val="576"/>
        </w:trPr>
        <w:tc>
          <w:tcPr>
            <w:tcW w:w="1387" w:type="pct"/>
            <w:tcBorders>
              <w:top w:val="single" w:sz="8" w:space="0" w:color="4F81BD"/>
              <w:left w:val="single" w:sz="8" w:space="0" w:color="4F81BD"/>
              <w:bottom w:val="single" w:sz="18" w:space="0" w:color="FFFFFF"/>
              <w:right w:val="single" w:sz="8" w:space="0" w:color="4F81BD"/>
            </w:tcBorders>
            <w:shd w:val="clear" w:color="auto" w:fill="4F81BD"/>
            <w:vAlign w:val="center"/>
          </w:tcPr>
          <w:p w14:paraId="324EE7D5" w14:textId="77777777" w:rsidR="0099599B" w:rsidRDefault="00EB7A3F">
            <w:pPr>
              <w:spacing w:line="360" w:lineRule="auto"/>
              <w:jc w:val="center"/>
              <w:textAlignment w:val="center"/>
              <w:rPr>
                <w:rFonts w:ascii="Times New Roman Regular" w:hAnsi="Times New Roman Regular" w:cs="Times New Roman Regular"/>
                <w:b/>
                <w:bCs/>
                <w:color w:val="FFFFFF"/>
                <w:sz w:val="22"/>
                <w:szCs w:val="22"/>
              </w:rPr>
            </w:pPr>
            <w:r>
              <w:rPr>
                <w:rFonts w:ascii="Times New Roman Regular" w:eastAsia="SimSun" w:hAnsi="Times New Roman Regular" w:cs="Times New Roman Regular"/>
                <w:b/>
                <w:bCs/>
                <w:color w:val="FFFFFF"/>
                <w:kern w:val="0"/>
                <w:sz w:val="22"/>
                <w:szCs w:val="22"/>
                <w:lang w:eastAsia="zh-CN" w:bidi="ar"/>
              </w:rPr>
              <w:t>Zonal Council</w:t>
            </w:r>
          </w:p>
        </w:tc>
        <w:tc>
          <w:tcPr>
            <w:tcW w:w="2219" w:type="pct"/>
            <w:tcBorders>
              <w:top w:val="single" w:sz="8" w:space="0" w:color="4F81BD"/>
              <w:left w:val="single" w:sz="8" w:space="0" w:color="4F81BD"/>
              <w:bottom w:val="single" w:sz="18" w:space="0" w:color="FFFFFF"/>
              <w:right w:val="single" w:sz="8" w:space="0" w:color="4F81BD"/>
            </w:tcBorders>
            <w:shd w:val="clear" w:color="auto" w:fill="4F81BD"/>
            <w:vAlign w:val="center"/>
          </w:tcPr>
          <w:p w14:paraId="1820A5BB" w14:textId="77777777" w:rsidR="0099599B" w:rsidRDefault="00EB7A3F">
            <w:pPr>
              <w:spacing w:line="360" w:lineRule="auto"/>
              <w:jc w:val="center"/>
              <w:textAlignment w:val="center"/>
              <w:rPr>
                <w:rFonts w:ascii="Times New Roman Regular" w:hAnsi="Times New Roman Regular" w:cs="Times New Roman Regular"/>
                <w:b/>
                <w:bCs/>
                <w:color w:val="FFFFFF"/>
                <w:sz w:val="22"/>
                <w:szCs w:val="22"/>
              </w:rPr>
            </w:pPr>
            <w:r>
              <w:rPr>
                <w:rFonts w:ascii="Times New Roman Regular" w:eastAsia="SimSun" w:hAnsi="Times New Roman Regular" w:cs="Times New Roman Regular"/>
                <w:b/>
                <w:bCs/>
                <w:color w:val="FFFFFF"/>
                <w:kern w:val="0"/>
                <w:sz w:val="22"/>
                <w:szCs w:val="22"/>
                <w:lang w:eastAsia="zh-CN" w:bidi="ar"/>
              </w:rPr>
              <w:t>Community</w:t>
            </w:r>
          </w:p>
        </w:tc>
        <w:tc>
          <w:tcPr>
            <w:tcW w:w="1393" w:type="pct"/>
            <w:tcBorders>
              <w:top w:val="single" w:sz="8" w:space="0" w:color="4F81BD"/>
              <w:left w:val="single" w:sz="8" w:space="0" w:color="4F81BD"/>
              <w:bottom w:val="single" w:sz="18" w:space="0" w:color="FFFFFF"/>
              <w:right w:val="single" w:sz="8" w:space="0" w:color="4F81BD"/>
            </w:tcBorders>
            <w:shd w:val="clear" w:color="auto" w:fill="4F81BD"/>
            <w:vAlign w:val="center"/>
          </w:tcPr>
          <w:p w14:paraId="3782B81F" w14:textId="77777777" w:rsidR="0099599B" w:rsidRDefault="00EB7A3F">
            <w:pPr>
              <w:spacing w:line="360" w:lineRule="auto"/>
              <w:jc w:val="center"/>
              <w:textAlignment w:val="center"/>
              <w:rPr>
                <w:rFonts w:ascii="Times New Roman Regular" w:hAnsi="Times New Roman Regular" w:cs="Times New Roman Regular"/>
                <w:b/>
                <w:bCs/>
                <w:color w:val="FFFFFF"/>
                <w:sz w:val="22"/>
                <w:szCs w:val="22"/>
              </w:rPr>
            </w:pPr>
            <w:r>
              <w:rPr>
                <w:rFonts w:ascii="Times New Roman Regular" w:eastAsia="SimSun" w:hAnsi="Times New Roman Regular" w:cs="Times New Roman Regular"/>
                <w:b/>
                <w:bCs/>
                <w:color w:val="FFFFFF"/>
                <w:kern w:val="0"/>
                <w:sz w:val="22"/>
                <w:szCs w:val="22"/>
                <w:lang w:eastAsia="zh-CN" w:bidi="ar"/>
              </w:rPr>
              <w:t>Sample Size</w:t>
            </w:r>
          </w:p>
        </w:tc>
      </w:tr>
      <w:tr w:rsidR="0099599B" w14:paraId="73F0A816" w14:textId="77777777">
        <w:trPr>
          <w:trHeight w:val="570"/>
        </w:trPr>
        <w:tc>
          <w:tcPr>
            <w:tcW w:w="1387" w:type="pct"/>
            <w:vMerge w:val="restart"/>
            <w:tcBorders>
              <w:top w:val="single" w:sz="18" w:space="0" w:color="FFFFFF"/>
              <w:left w:val="single" w:sz="8" w:space="0" w:color="4F81BD"/>
              <w:bottom w:val="single" w:sz="8" w:space="0" w:color="4F81BD"/>
              <w:right w:val="single" w:sz="8" w:space="0" w:color="4F81BD"/>
            </w:tcBorders>
            <w:shd w:val="clear" w:color="auto" w:fill="B8CCE4"/>
            <w:vAlign w:val="center"/>
          </w:tcPr>
          <w:p w14:paraId="68E8904E"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Kasseh Area Council</w:t>
            </w:r>
          </w:p>
        </w:tc>
        <w:tc>
          <w:tcPr>
            <w:tcW w:w="2219" w:type="pct"/>
            <w:tcBorders>
              <w:top w:val="single" w:sz="18" w:space="0" w:color="FFFFFF"/>
              <w:left w:val="single" w:sz="8" w:space="0" w:color="4F81BD"/>
              <w:bottom w:val="single" w:sz="8" w:space="0" w:color="4F81BD"/>
              <w:right w:val="single" w:sz="8" w:space="0" w:color="4F81BD"/>
            </w:tcBorders>
            <w:shd w:val="clear" w:color="auto" w:fill="B8CCE4"/>
            <w:vAlign w:val="center"/>
          </w:tcPr>
          <w:p w14:paraId="3CF4ECC2"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Torgbloku</w:t>
            </w:r>
          </w:p>
        </w:tc>
        <w:tc>
          <w:tcPr>
            <w:tcW w:w="1393" w:type="pct"/>
            <w:tcBorders>
              <w:top w:val="single" w:sz="18" w:space="0" w:color="FFFFFF"/>
              <w:left w:val="single" w:sz="8" w:space="0" w:color="4F81BD"/>
              <w:bottom w:val="single" w:sz="8" w:space="0" w:color="4F81BD"/>
              <w:right w:val="single" w:sz="8" w:space="0" w:color="4F81BD"/>
            </w:tcBorders>
            <w:shd w:val="clear" w:color="auto" w:fill="B8CCE4"/>
            <w:vAlign w:val="center"/>
          </w:tcPr>
          <w:p w14:paraId="1B2BA1F3"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027EECD2"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FFFFFF"/>
            <w:vAlign w:val="center"/>
          </w:tcPr>
          <w:p w14:paraId="726D58C3"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67F32BF2"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Kasseh</w:t>
            </w:r>
          </w:p>
        </w:tc>
        <w:tc>
          <w:tcPr>
            <w:tcW w:w="1393"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76E9CD89"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4A11136D"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B8CCE4"/>
            <w:vAlign w:val="center"/>
          </w:tcPr>
          <w:p w14:paraId="5A4FE511"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4613A088"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Lufenya</w:t>
            </w:r>
          </w:p>
        </w:tc>
        <w:tc>
          <w:tcPr>
            <w:tcW w:w="1393"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7A026CB3"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78BDE7BB"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FFFFFF"/>
            <w:vAlign w:val="center"/>
          </w:tcPr>
          <w:p w14:paraId="0C2314F1"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38E71AF2"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Kajanya</w:t>
            </w:r>
          </w:p>
        </w:tc>
        <w:tc>
          <w:tcPr>
            <w:tcW w:w="1393"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15019500"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65CA7C05" w14:textId="77777777">
        <w:trPr>
          <w:trHeight w:val="664"/>
        </w:trPr>
        <w:tc>
          <w:tcPr>
            <w:tcW w:w="1387" w:type="pct"/>
            <w:vMerge w:val="restart"/>
            <w:tcBorders>
              <w:top w:val="single" w:sz="8" w:space="0" w:color="4F81BD"/>
              <w:left w:val="single" w:sz="8" w:space="0" w:color="4F81BD"/>
              <w:bottom w:val="single" w:sz="8" w:space="0" w:color="4F81BD"/>
              <w:right w:val="single" w:sz="8" w:space="0" w:color="4F81BD"/>
            </w:tcBorders>
            <w:shd w:val="clear" w:color="auto" w:fill="B8CCE4"/>
            <w:vAlign w:val="center"/>
          </w:tcPr>
          <w:p w14:paraId="286FDCC2"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Big Ada Area Council</w:t>
            </w:r>
          </w:p>
        </w:tc>
        <w:tc>
          <w:tcPr>
            <w:tcW w:w="2219"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6674C0A3"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Big Ada</w:t>
            </w:r>
          </w:p>
        </w:tc>
        <w:tc>
          <w:tcPr>
            <w:tcW w:w="1393"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280F15F7"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1D75C75A"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FFFFFF"/>
            <w:vAlign w:val="center"/>
          </w:tcPr>
          <w:p w14:paraId="2404BD1C"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64D7A739"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Obane</w:t>
            </w:r>
          </w:p>
        </w:tc>
        <w:tc>
          <w:tcPr>
            <w:tcW w:w="1393"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40371D8F"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3F9B091E" w14:textId="77777777">
        <w:trPr>
          <w:trHeight w:val="389"/>
        </w:trPr>
        <w:tc>
          <w:tcPr>
            <w:tcW w:w="1387" w:type="pct"/>
            <w:vMerge/>
            <w:tcBorders>
              <w:top w:val="single" w:sz="8" w:space="0" w:color="4F81BD"/>
              <w:left w:val="single" w:sz="8" w:space="0" w:color="4F81BD"/>
              <w:bottom w:val="single" w:sz="8" w:space="0" w:color="4F81BD"/>
              <w:right w:val="single" w:sz="8" w:space="0" w:color="4F81BD"/>
            </w:tcBorders>
            <w:shd w:val="clear" w:color="auto" w:fill="B8CCE4"/>
            <w:vAlign w:val="center"/>
          </w:tcPr>
          <w:p w14:paraId="4A6D7759"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64887F40"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Pediatorkope</w:t>
            </w:r>
          </w:p>
        </w:tc>
        <w:tc>
          <w:tcPr>
            <w:tcW w:w="1393"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6386A5FF"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6BCE68EF"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FFFFFF"/>
            <w:vAlign w:val="center"/>
          </w:tcPr>
          <w:p w14:paraId="39B9A9CD"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22B3F883"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highlight w:val="yellow"/>
                <w:lang w:eastAsia="zh-CN" w:bidi="ar"/>
              </w:rPr>
              <w:t>Atortokope</w:t>
            </w:r>
          </w:p>
        </w:tc>
        <w:tc>
          <w:tcPr>
            <w:tcW w:w="1393"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6D5187AA"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27C5EBA0" w14:textId="77777777">
        <w:trPr>
          <w:trHeight w:val="411"/>
        </w:trPr>
        <w:tc>
          <w:tcPr>
            <w:tcW w:w="1387" w:type="pct"/>
            <w:vMerge w:val="restart"/>
            <w:tcBorders>
              <w:top w:val="single" w:sz="8" w:space="0" w:color="4F81BD"/>
              <w:left w:val="single" w:sz="8" w:space="0" w:color="4F81BD"/>
              <w:bottom w:val="single" w:sz="8" w:space="0" w:color="4F81BD"/>
              <w:right w:val="single" w:sz="8" w:space="0" w:color="4F81BD"/>
            </w:tcBorders>
            <w:shd w:val="clear" w:color="auto" w:fill="B8CCE4"/>
            <w:vAlign w:val="center"/>
          </w:tcPr>
          <w:p w14:paraId="689C937B"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Ada Foah Area Council</w:t>
            </w:r>
          </w:p>
        </w:tc>
        <w:tc>
          <w:tcPr>
            <w:tcW w:w="2219"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59D2BCDC"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Aflive</w:t>
            </w:r>
          </w:p>
        </w:tc>
        <w:tc>
          <w:tcPr>
            <w:tcW w:w="1393"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04A42256"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2D1187B2"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FFFFFF"/>
            <w:vAlign w:val="center"/>
          </w:tcPr>
          <w:p w14:paraId="6EED1D4F"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198A44C8"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Elavanyo</w:t>
            </w:r>
          </w:p>
        </w:tc>
        <w:tc>
          <w:tcPr>
            <w:tcW w:w="1393"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687D617B"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3C53A0CC"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B8CCE4"/>
            <w:vAlign w:val="center"/>
          </w:tcPr>
          <w:p w14:paraId="148F939B"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631E4FEA"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Azizanya</w:t>
            </w:r>
          </w:p>
        </w:tc>
        <w:tc>
          <w:tcPr>
            <w:tcW w:w="1393"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1CEC9D1A"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76DA9593" w14:textId="77777777">
        <w:trPr>
          <w:trHeight w:val="288"/>
        </w:trPr>
        <w:tc>
          <w:tcPr>
            <w:tcW w:w="1387" w:type="pct"/>
            <w:vMerge/>
            <w:tcBorders>
              <w:top w:val="single" w:sz="8" w:space="0" w:color="4F81BD"/>
              <w:left w:val="single" w:sz="8" w:space="0" w:color="4F81BD"/>
              <w:bottom w:val="single" w:sz="8" w:space="0" w:color="4F81BD"/>
              <w:right w:val="single" w:sz="8" w:space="0" w:color="4F81BD"/>
            </w:tcBorders>
            <w:shd w:val="clear" w:color="auto" w:fill="FFFFFF"/>
            <w:vAlign w:val="center"/>
          </w:tcPr>
          <w:p w14:paraId="6F4C8E58" w14:textId="77777777" w:rsidR="0099599B" w:rsidRDefault="0099599B">
            <w:pPr>
              <w:spacing w:line="360" w:lineRule="auto"/>
              <w:rPr>
                <w:rFonts w:ascii="Times New Roman Regular" w:hAnsi="Times New Roman Regular" w:cs="Times New Roman Regular"/>
                <w:color w:val="000000"/>
                <w:sz w:val="22"/>
                <w:szCs w:val="22"/>
              </w:rPr>
            </w:pPr>
          </w:p>
        </w:tc>
        <w:tc>
          <w:tcPr>
            <w:tcW w:w="2219"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66FDB6CF" w14:textId="77777777" w:rsidR="0099599B" w:rsidRDefault="00EB7A3F">
            <w:pPr>
              <w:spacing w:line="360" w:lineRule="auto"/>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Otrokpe</w:t>
            </w:r>
          </w:p>
        </w:tc>
        <w:tc>
          <w:tcPr>
            <w:tcW w:w="1393" w:type="pct"/>
            <w:tcBorders>
              <w:top w:val="single" w:sz="8" w:space="0" w:color="4F81BD"/>
              <w:left w:val="single" w:sz="8" w:space="0" w:color="4F81BD"/>
              <w:bottom w:val="single" w:sz="8" w:space="0" w:color="4F81BD"/>
              <w:right w:val="single" w:sz="8" w:space="0" w:color="4F81BD"/>
            </w:tcBorders>
            <w:shd w:val="clear" w:color="auto" w:fill="FFFFFF"/>
            <w:vAlign w:val="center"/>
          </w:tcPr>
          <w:p w14:paraId="2E5B1252" w14:textId="77777777" w:rsidR="0099599B" w:rsidRDefault="00EB7A3F">
            <w:pPr>
              <w:spacing w:line="360" w:lineRule="auto"/>
              <w:jc w:val="right"/>
              <w:textAlignment w:val="center"/>
              <w:rPr>
                <w:rFonts w:ascii="Times New Roman Regular" w:hAnsi="Times New Roman Regular" w:cs="Times New Roman Regular"/>
                <w:color w:val="000000"/>
                <w:sz w:val="22"/>
                <w:szCs w:val="22"/>
              </w:rPr>
            </w:pPr>
            <w:r>
              <w:rPr>
                <w:rFonts w:ascii="Times New Roman Regular" w:eastAsia="SimSun" w:hAnsi="Times New Roman Regular" w:cs="Times New Roman Regular"/>
                <w:color w:val="000000"/>
                <w:kern w:val="0"/>
                <w:sz w:val="22"/>
                <w:szCs w:val="22"/>
                <w:lang w:eastAsia="zh-CN" w:bidi="ar"/>
              </w:rPr>
              <w:t>35</w:t>
            </w:r>
          </w:p>
        </w:tc>
      </w:tr>
      <w:tr w:rsidR="0099599B" w14:paraId="5FF03295" w14:textId="77777777">
        <w:trPr>
          <w:trHeight w:val="288"/>
        </w:trPr>
        <w:tc>
          <w:tcPr>
            <w:tcW w:w="1387"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3AA914AD" w14:textId="77777777" w:rsidR="0099599B" w:rsidRDefault="00EB7A3F">
            <w:pPr>
              <w:spacing w:line="360" w:lineRule="auto"/>
              <w:textAlignment w:val="center"/>
              <w:rPr>
                <w:rFonts w:ascii="Times New Roman Regular" w:hAnsi="Times New Roman Regular" w:cs="Times New Roman Regular"/>
                <w:b/>
                <w:bCs/>
                <w:color w:val="000000"/>
                <w:sz w:val="22"/>
                <w:szCs w:val="22"/>
              </w:rPr>
            </w:pPr>
            <w:r>
              <w:rPr>
                <w:rFonts w:ascii="Times New Roman Regular" w:eastAsia="SimSun" w:hAnsi="Times New Roman Regular" w:cs="Times New Roman Regular"/>
                <w:b/>
                <w:bCs/>
                <w:color w:val="000000"/>
                <w:kern w:val="0"/>
                <w:sz w:val="22"/>
                <w:szCs w:val="22"/>
                <w:lang w:eastAsia="zh-CN" w:bidi="ar"/>
              </w:rPr>
              <w:t>Total</w:t>
            </w:r>
          </w:p>
        </w:tc>
        <w:tc>
          <w:tcPr>
            <w:tcW w:w="2219"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038AF676" w14:textId="77777777" w:rsidR="0099599B" w:rsidRDefault="0099599B">
            <w:pPr>
              <w:spacing w:line="360" w:lineRule="auto"/>
              <w:rPr>
                <w:rFonts w:ascii="Times New Roman Regular" w:hAnsi="Times New Roman Regular" w:cs="Times New Roman Regular"/>
                <w:color w:val="000000"/>
                <w:sz w:val="22"/>
                <w:szCs w:val="22"/>
              </w:rPr>
            </w:pPr>
          </w:p>
        </w:tc>
        <w:tc>
          <w:tcPr>
            <w:tcW w:w="1393" w:type="pct"/>
            <w:tcBorders>
              <w:top w:val="single" w:sz="8" w:space="0" w:color="4F81BD"/>
              <w:left w:val="single" w:sz="8" w:space="0" w:color="4F81BD"/>
              <w:bottom w:val="single" w:sz="8" w:space="0" w:color="4F81BD"/>
              <w:right w:val="single" w:sz="8" w:space="0" w:color="4F81BD"/>
            </w:tcBorders>
            <w:shd w:val="clear" w:color="auto" w:fill="B8CCE4"/>
            <w:vAlign w:val="center"/>
          </w:tcPr>
          <w:p w14:paraId="051DB688" w14:textId="77777777" w:rsidR="0099599B" w:rsidRDefault="00EB7A3F">
            <w:pPr>
              <w:spacing w:line="360" w:lineRule="auto"/>
              <w:jc w:val="right"/>
              <w:textAlignment w:val="center"/>
              <w:rPr>
                <w:rFonts w:ascii="Times New Roman Regular" w:hAnsi="Times New Roman Regular" w:cs="Times New Roman Regular"/>
                <w:b/>
                <w:bCs/>
                <w:color w:val="000000"/>
                <w:sz w:val="22"/>
                <w:szCs w:val="22"/>
              </w:rPr>
            </w:pPr>
            <w:r>
              <w:rPr>
                <w:rFonts w:ascii="Times New Roman Regular" w:eastAsia="SimSun" w:hAnsi="Times New Roman Regular" w:cs="Times New Roman Regular"/>
                <w:b/>
                <w:bCs/>
                <w:color w:val="000000"/>
                <w:kern w:val="0"/>
                <w:sz w:val="22"/>
                <w:szCs w:val="22"/>
                <w:lang w:eastAsia="zh-CN" w:bidi="ar"/>
              </w:rPr>
              <w:t>420</w:t>
            </w:r>
          </w:p>
        </w:tc>
      </w:tr>
    </w:tbl>
    <w:p w14:paraId="1CD15A4B" w14:textId="77777777" w:rsidR="0099599B" w:rsidRDefault="0099599B">
      <w:pPr>
        <w:spacing w:line="360" w:lineRule="auto"/>
      </w:pPr>
    </w:p>
    <w:p w14:paraId="2681B2C2" w14:textId="77777777" w:rsidR="0099599B" w:rsidRDefault="0099599B">
      <w:pPr>
        <w:spacing w:line="360" w:lineRule="auto"/>
      </w:pPr>
    </w:p>
    <w:p w14:paraId="58B38934" w14:textId="77777777" w:rsidR="0099599B" w:rsidRDefault="0099599B">
      <w:pPr>
        <w:spacing w:line="360" w:lineRule="auto"/>
      </w:pPr>
    </w:p>
    <w:p w14:paraId="7AA369BA" w14:textId="77777777" w:rsidR="0099599B" w:rsidRDefault="00EB7A3F">
      <w:pPr>
        <w:pStyle w:val="Heading4"/>
        <w:spacing w:line="360" w:lineRule="auto"/>
        <w:rPr>
          <w:color w:val="47D459" w:themeColor="accent3" w:themeTint="99"/>
        </w:rPr>
      </w:pPr>
      <w:r>
        <w:rPr>
          <w:color w:val="47D459" w:themeColor="accent3" w:themeTint="99"/>
        </w:rPr>
        <w:t xml:space="preserve">3.3.1.2 Data analysis for the IPCC-LVI </w:t>
      </w:r>
      <w:r>
        <w:rPr>
          <w:color w:val="47D459" w:themeColor="accent3" w:themeTint="99"/>
        </w:rPr>
        <w:tab/>
      </w:r>
    </w:p>
    <w:p w14:paraId="6A1BFC9A" w14:textId="77777777" w:rsidR="0099599B" w:rsidRDefault="00EB7A3F">
      <w:pPr>
        <w:spacing w:line="360" w:lineRule="auto"/>
        <w:jc w:val="both"/>
      </w:pPr>
      <w:r>
        <w:rPr>
          <w:rFonts w:ascii="Times New Roman Regular" w:eastAsia="Garamond" w:hAnsi="Times New Roman Regular" w:cs="Times New Roman Regular"/>
          <w:color w:val="000000"/>
          <w:sz w:val="22"/>
          <w:lang w:bidi="ar"/>
        </w:rPr>
        <w:t xml:space="preserve">Information received from the overall assessment process has been consolidated to determine overall vulnerability of the </w:t>
      </w:r>
      <w:r>
        <w:rPr>
          <w:rFonts w:ascii="Times New Roman Regular" w:eastAsia="Garamond" w:hAnsi="Times New Roman Regular" w:cs="Times New Roman Regular"/>
          <w:color w:val="000000"/>
          <w:sz w:val="22"/>
          <w:lang w:bidi="ar"/>
        </w:rPr>
        <w:t>district</w:t>
      </w:r>
      <w:r>
        <w:rPr>
          <w:rFonts w:ascii="Times New Roman Regular" w:eastAsia="Garamond" w:hAnsi="Times New Roman Regular" w:cs="Times New Roman Regular"/>
          <w:color w:val="000000"/>
          <w:sz w:val="22"/>
          <w:lang w:bidi="ar"/>
        </w:rPr>
        <w:t>. Specifically for the quantitative assessment (survey), the d</w:t>
      </w:r>
      <w:r>
        <w:t>ata was analysed using STATA 15 software. The data analysis involved descriptive statistics comprising demographic characteristics of the respondents interviewed, their livelihood strategies and credit avenues, assets, social network, assess to social basic amenities and their prevailing exposure to climatic threats. The process firstly provides a descriptive insight into the context by applying an explorative statistical analysis. Furthe</w:t>
      </w:r>
      <w:r>
        <w:t xml:space="preserve">r, analysis the livelihood vulnerability of the </w:t>
      </w:r>
      <w:r>
        <w:t>district</w:t>
      </w:r>
      <w:r>
        <w:t xml:space="preserve"> was done by analysing the balanced-weighted average of the LVI based on the IPCC framework </w:t>
      </w:r>
    </w:p>
    <w:p w14:paraId="4EB69FD9" w14:textId="77777777" w:rsidR="0099599B" w:rsidRDefault="00EB7A3F">
      <w:pPr>
        <w:spacing w:line="360" w:lineRule="auto"/>
        <w:jc w:val="both"/>
      </w:pPr>
      <w:r>
        <w:t xml:space="preserve">As highlighted by </w:t>
      </w:r>
      <w:r>
        <w:fldChar w:fldCharType="begin" w:fldLock="1"/>
      </w:r>
      <w:r>
        <w:instrText>ADDIN CSL_CITATION {"citationItems":[{"id":"ITEM-1","itemData":{"DOI":"10.3390/land11081240","ISBN":"2041200200","abstract":"Vulnerability to climate change and variability impacts has been identified as a major cog in the wheel of both livelihood and resilience, particularly in vulnerable groups in rural areas. This study aims to assess genders' vulnerability dimension to climate change and variability in REDD + (Reducing Emission from Deforestation and Forest Degradation+) piloted site/clusters, Cross Riv</w:instrText>
      </w:r>
      <w:r>
        <w:instrText>er State, Nigeria. Data were proportionately collected from selected 200 respondents on gender disaggregated level using questionnaires. The assessment adopted the sustainable livelihood approach (livelihood vulnerability index) and compared the results with the IPCC vulnerability standard of exposure, sensitivity and adaptive capacity weighted mean. The results revealed a significant difference in the vulnerability dimension of both women and men disaggregated levels (LVI: men 0.509, women 0.618). The wome</w:instrText>
      </w:r>
      <w:r>
        <w:instrText>n category was more vulnerable to six out of seven major components of LVI assessed: (livelihood strategies (0.646), social networks (0.364), water (0.559), health (0.379), food and nutrition (0.507), and natural hazards and climate variability (0.482), while men only vulnerable to socio-demographic major component (0.346). Vulnerability indices also showed women to be more exposed (0.482), and sensitive (0.489) with the least adaptive capacities (0.462) to the climate change and variability impacts. Overal</w:instrText>
      </w:r>
      <w:r>
        <w:instrText>l, on the IPCC-LVI index, women are more vulnerable (0.0098) to climate change and variability impacts than men (−0.0093). The study recommends that the women's category resilience and adaptive capacity should be empowered in adaptation projects in climate change such as REDD + (Reducing Emissions from Deforestation and Forest Degradation+) to reduce their vulnerability to impacts of climate change and variability in the context of exposure, sensitivity, and adaptive capacities. This will be instrumental in</w:instrText>
      </w:r>
      <w:r>
        <w:instrText xml:space="preserve"> formulating policies to address the specific needs of gender categories in reducing vulnerability to climate change and variability. This pragmatic approach may be used to monitor gender vulnerability dimension, and livelihood enhancement and evaluate potential climate change adaptation programs. Additionally, the introduction of IPCC-LVI as a baseline instrument will enhance information on gender resilience and adaptive capacity for policy effectiveness in a data-scarce region particularly Africa.","autho</w:instrText>
      </w:r>
      <w:r>
        <w:instrText>r":[{"dropping-particle":"","family":"Basiru","given":"A O ;","non-dropping-particle":"","parse-names":false,"suffix":""},{"dropping-particle":"","family":"Oladoye","given":"A O ;","non-dropping-particle":"","parse-names":false,"suffix":""},{"dropping-particle":"","family":"Okanlawon Basiru","given":"Adeniyi","non-dropping-particle":"","parse-names":false,"suffix":""},{"dropping-particle":"","family":"Oladoye","given":"Abiodun Olusegun","non-dropping-particle":"","parse-names":false,"suffix":""},{"dropping-</w:instrText>
      </w:r>
      <w:r>
        <w:instrText>particle":"","family":"Omotola Adekoya","given":"Olubusayo","non-dropping-particle":"","parse-names":false,"suffix":""},{"dropping-particle":"","family":"Akomolede","given":"Lucas Aderemi","non-dropping-particle":"","parse-names":false,"suffix":""},{"dropping-particle":"","family":"Oeba","given":"Vincent Onguso","non-dropping-particle":"","parse-names":false,"suffix":""},{"dropping-particle":"","family":"Awodutire","given":"Opeyemi Oluwaseun","non-dropping-particle":"","parse-names":false,"suffix":""},{"dro</w:instrText>
      </w:r>
      <w:r>
        <w:instrText>pping-particle":"","family":"Charity","given":"Fredrick","non-dropping-particle":"","parse-names":false,"suffix":""},{"dropping-particle":"","family":"Abodunrin","given":"Emmanuel Kolawole","non-dropping-particle":"","parse-names":false,"suffix":""}],"container-title":"mdpi.com","id":"ITEM-1","issued":{"date-parts":[["2022"]]},"page":"1240","title":"Livelihood Vulnerability Index: Gender Dimension to Climate Change and Variability in REDD+ Piloted Sites, Cross River State, Nigeria","type":"article-journal",</w:instrText>
      </w:r>
      <w:r>
        <w:instrText>"volume":"2022"},"uris":["http://www.mendeley.com/documents/?uuid=cf87399e-2920-3b96-8579-4ff6463bd005"]}],"mendeley":{"formattedCitation":"(Basiru et al., 2022)","manualFormatting":"Basiru et al., (2022)","plainTextFormattedCitation":"(Basiru et al., 2022)","previouslyFormattedCitation":"(Basiru et al., 2022)"},"properties":{"noteIndex":0},"schema":"https://github.com/citation-style-language/schema/raw/master/csl-citation.json"}</w:instrText>
      </w:r>
      <w:r>
        <w:fldChar w:fldCharType="separate"/>
      </w:r>
      <w:r>
        <w:t>Basiru et al., (2022)</w:t>
      </w:r>
      <w:r>
        <w:fldChar w:fldCharType="end"/>
      </w:r>
      <w:r>
        <w:t>, the LVI uses the balanced weighted approach. This is because each indicator subcomponent is measured differently using different units, the LVI formula thus applies equal weights to all the components. This is significant because, this method standardises each subcomponent into comparable units or indices. The standard balanced weighting approach applies equation 1.</w:t>
      </w:r>
    </w:p>
    <w:p w14:paraId="4F1F23FE" w14:textId="77777777" w:rsidR="0099599B" w:rsidRDefault="00EB7A3F">
      <w:pPr>
        <w:spacing w:line="360" w:lineRule="auto"/>
        <w:jc w:val="center"/>
      </w:pPr>
      <m:oMath>
        <m:sSub>
          <m:sSubPr>
            <m:ctrlPr>
              <w:rPr>
                <w:rFonts w:ascii="Cambria Math" w:hAnsi="Cambria Math"/>
              </w:rPr>
            </m:ctrlPr>
          </m:sSubPr>
          <m:e>
            <w:bookmarkStart w:id="42" w:name="_Hlk124179175"/>
            <m:r>
              <m:rPr>
                <m:sty m:val="p"/>
              </m:rPr>
              <w:rPr>
                <w:rFonts w:ascii="Cambria Math" w:hAnsi="Cambria Math"/>
              </w:rPr>
              <m:t>Index</m:t>
            </m:r>
          </m:e>
          <m:sub>
            <m:r>
              <m:rPr>
                <m:sty m:val="p"/>
              </m:rPr>
              <w:rPr>
                <w:rFonts w:ascii="Cambria Math" w:hAnsi="Cambria Math"/>
              </w:rPr>
              <m:t>C</m:t>
            </m:r>
            <w:bookmarkEnd w:id="42"/>
          </m:sub>
        </m:sSub>
        <m:r>
          <m:rPr>
            <m:sty m:val="p"/>
          </m:rPr>
          <w:rPr>
            <w:rFonts w:ascii="Cambria Math" w:hAnsi="Cambria Math"/>
          </w:rPr>
          <m:t>=</m:t>
        </m:r>
        <m:f>
          <m:fPr>
            <m:ctrlPr>
              <w:rPr>
                <w:rFonts w:ascii="Cambria Math" w:hAnsi="Cambria Math"/>
              </w:rPr>
            </m:ctrlPr>
          </m:fPr>
          <m:num>
            <m:r>
              <m:rPr>
                <m:sty m:val="p"/>
              </m:rPr>
              <w:rPr>
                <w:rFonts w:ascii="Cambria Math" w:hAnsi="Cambria Math"/>
              </w:rPr>
              <m:t>C-</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min</m:t>
                </m:r>
              </m:sub>
            </m:sSub>
          </m:num>
          <m:den>
            <m:sSub>
              <m:sSubPr>
                <m:ctrlPr>
                  <w:rPr>
                    <w:rFonts w:ascii="Cambria Math" w:hAnsi="Cambria Math"/>
                  </w:rPr>
                </m:ctrlPr>
              </m:sSubPr>
              <m:e>
                <m:r>
                  <m:rPr>
                    <m:sty m:val="p"/>
                  </m:rPr>
                  <w:rPr>
                    <w:rFonts w:ascii="Cambria Math" w:hAnsi="Cambria Math"/>
                  </w:rPr>
                  <m:t>C</m:t>
                </m:r>
              </m:e>
              <m:sub>
                <m:r>
                  <m:rPr>
                    <m:sty m:val="p"/>
                  </m:rPr>
                  <w:rPr>
                    <w:rFonts w:ascii="Cambria Math" w:hAnsi="Cambria Math"/>
                  </w:rPr>
                  <m:t>max</m:t>
                </m:r>
              </m:sub>
            </m:sSub>
            <m:r>
              <m:rPr>
                <m:sty m:val="p"/>
              </m:rPr>
              <w:rPr>
                <w:rFonts w:ascii="Cambria Math" w:hAnsi="Cambria Math"/>
              </w:rPr>
              <m:t>-</m:t>
            </m:r>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min</m:t>
                </m:r>
              </m:sub>
            </m:sSub>
          </m:den>
        </m:f>
      </m:oMath>
      <w:bookmarkStart w:id="43" w:name="_Hlk124178618"/>
      <w:r>
        <w:tab/>
      </w:r>
      <w:r>
        <w:tab/>
      </w:r>
      <w:r>
        <w:tab/>
        <w:t xml:space="preserve">… </w:t>
      </w:r>
      <w:r>
        <w:fldChar w:fldCharType="begin"/>
      </w:r>
      <w:r>
        <w:instrText xml:space="preserve"> SEQ Equation \* ARABIC </w:instrText>
      </w:r>
      <w:r>
        <w:fldChar w:fldCharType="separate"/>
      </w:r>
      <w:r>
        <w:t>1</w:t>
      </w:r>
      <w:r>
        <w:fldChar w:fldCharType="end"/>
      </w:r>
    </w:p>
    <w:bookmarkEnd w:id="43"/>
    <w:p w14:paraId="78B4B125" w14:textId="77777777" w:rsidR="0099599B" w:rsidRDefault="00EB7A3F">
      <w:pPr>
        <w:spacing w:line="360" w:lineRule="auto"/>
        <w:jc w:val="both"/>
      </w:pPr>
      <w:r>
        <w:lastRenderedPageBreak/>
        <w:t>Where ‘Indexc’ represents the subcomponent, C, being weighted and min and max represent the minimum and maximum values of subcomponent, C, respectively. After standardization of all indicators, the major components are generated by averaging the standardized scores of related subcomponents using Equation 2 below;</w:t>
      </w:r>
    </w:p>
    <w:p w14:paraId="46FCCB88" w14:textId="77777777" w:rsidR="0099599B" w:rsidRDefault="00EB7A3F">
      <w:pPr>
        <w:spacing w:line="360" w:lineRule="auto"/>
        <w:jc w:val="center"/>
      </w:pPr>
      <w:r>
        <w:rPr>
          <w:rFonts w:hAnsi="Cambria Math"/>
        </w:rPr>
        <w:t xml:space="preserve">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c</m:t>
            </m:r>
          </m:sub>
        </m:sSub>
        <m:r>
          <m:rPr>
            <m:sty m:val="p"/>
          </m:rPr>
          <w:rPr>
            <w:rFonts w:ascii="Cambria Math" w:hAnsi="Cambria Math"/>
          </w:rPr>
          <m:t>=</m:t>
        </m:r>
        <m:f>
          <m:fPr>
            <m:ctrlPr>
              <w:rPr>
                <w:rFonts w:ascii="Cambria Math" w:hAnsi="Cambria Math"/>
              </w:rPr>
            </m:ctrlPr>
          </m:fPr>
          <m:num>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Index</m:t>
                    </m:r>
                  </m:e>
                  <m:sub>
                    <m:r>
                      <m:rPr>
                        <m:sty m:val="p"/>
                      </m:rPr>
                      <w:rPr>
                        <w:rFonts w:ascii="Cambria Math" w:hAnsi="Cambria Math"/>
                      </w:rPr>
                      <m:t>C</m:t>
                    </m:r>
                  </m:sub>
                </m:sSub>
              </m:e>
            </m:nary>
          </m:num>
          <m:den>
            <m:r>
              <m:rPr>
                <m:sty m:val="p"/>
              </m:rPr>
              <w:rPr>
                <w:rFonts w:ascii="Cambria Math" w:hAnsi="Cambria Math"/>
              </w:rPr>
              <m:t>n</m:t>
            </m:r>
          </m:den>
        </m:f>
      </m:oMath>
      <w:r>
        <w:tab/>
      </w:r>
      <w:r>
        <w:tab/>
      </w:r>
      <w:r>
        <w:tab/>
      </w:r>
      <w:r>
        <w:tab/>
        <w:t xml:space="preserve">… </w:t>
      </w:r>
      <w:r>
        <w:fldChar w:fldCharType="begin"/>
      </w:r>
      <w:r>
        <w:instrText xml:space="preserve"> SEQ Equation \* ARABIC </w:instrText>
      </w:r>
      <w:r>
        <w:fldChar w:fldCharType="separate"/>
      </w:r>
      <w:r>
        <w:t>2</w:t>
      </w:r>
      <w:r>
        <w:fldChar w:fldCharType="end"/>
      </w:r>
    </w:p>
    <w:p w14:paraId="6B18FA3E" w14:textId="77777777" w:rsidR="0099599B" w:rsidRDefault="00EB7A3F">
      <w:pPr>
        <w:spacing w:line="360" w:lineRule="auto"/>
        <w:jc w:val="both"/>
      </w:pPr>
      <w:r>
        <w:t>Where Hc represents one of the major components, the average of a summation of all subcomponents Index</w:t>
      </w:r>
      <w:r>
        <w:rPr>
          <w:vertAlign w:val="subscript"/>
        </w:rPr>
        <w:t xml:space="preserve">c, </w:t>
      </w:r>
      <w:r>
        <w:t xml:space="preserve">of number, n. Finally, after calculating all the major components, a combination of the weighted averages for all major components was applied (Equation 3). This  ensures equal contribution of the main components to the overall LVI </w:t>
      </w:r>
      <w:r>
        <w:fldChar w:fldCharType="begin" w:fldLock="1"/>
      </w:r>
      <w:r>
        <w:instrText xml:space="preserve">ADDIN CSL_CITATION {"citationItems":[{"id":"ITEM-1","itemData":{"DOI":"10.1016/S0305-750X(02)00035-9","ISSN":"0305-750X","abstract":"This paper provides discussion of ways in which an interdisciplinary approach can be taken to produce an integrated assessment of water stress and scarcity, linking physical estimates of water availability with socioeconomic variables that reflect poverty, i.e., a Water Poverty Index. It is known that poor households often suffer from poor water provision, and this results in </w:instrText>
      </w:r>
      <w:r>
        <w:instrText>a significant loss of time and effort, especially for women. By linking the physical and social sciences to address this issue, a more equitable solution for water allocation may be found. For the purpose of initiating discussion, a summary of different approaches to establishing a Water Poverty Index is discussed. © 2002 Elsevier Science Ltd. All rights reserved.","author":[{"dropping-particle":"","family":"Sullivan","given":"Caroline","non-dropping-particle":"","parse-names":false,"suffix":""}],"container</w:instrText>
      </w:r>
      <w:r>
        <w:instrText>-title":"World Development","id":"ITEM-1","issue":"7","issued":{"date-parts":[["2002","7","1"]]},"page":"1195-1210","publisher":"Pergamon","title":"Calculating a Water Poverty Index","type":"article-journal","volume":"30"},"uris":["http://www.mendeley.com/documents/?uuid=e217e86d-0dd2-313a-99df-1959b66d47c9"]}],"mendeley":{"formattedCitation":"(Sullivan, 2002)","plainTextFormattedCitation":"(Sullivan, 2002)","previouslyFormattedCitation":"(Sullivan, 2002)"},"properties":{"noteIndex":0},"schema":"https://git</w:instrText>
      </w:r>
      <w:r>
        <w:instrText>hub.com/citation-style-language/schema/raw/master/csl-citation.json"}</w:instrText>
      </w:r>
      <w:r>
        <w:fldChar w:fldCharType="separate"/>
      </w:r>
      <w:r>
        <w:t>(Sullivan, 2002)</w:t>
      </w:r>
      <w:r>
        <w:fldChar w:fldCharType="end"/>
      </w:r>
      <w:r>
        <w:t xml:space="preserve">. </w:t>
      </w:r>
    </w:p>
    <w:p w14:paraId="3845148F" w14:textId="77777777" w:rsidR="0099599B" w:rsidRDefault="00EB7A3F">
      <w:pPr>
        <w:spacing w:line="360" w:lineRule="auto"/>
        <w:jc w:val="center"/>
      </w:pPr>
      <m:oMath>
        <m:r>
          <m:rPr>
            <m:sty m:val="p"/>
          </m:rPr>
          <w:rPr>
            <w:rFonts w:ascii="Cambria Math" w:hAnsi="Cambria Math"/>
          </w:rPr>
          <m:t>LVI=</m:t>
        </m:r>
        <m:f>
          <m:fPr>
            <m:ctrlPr>
              <w:rPr>
                <w:rFonts w:ascii="Cambria Math" w:hAnsi="Cambria Math"/>
              </w:rPr>
            </m:ctrlPr>
          </m:fPr>
          <m:num>
            <m:sSub>
              <m:sSubPr>
                <m:ctrlPr>
                  <w:rPr>
                    <w:rFonts w:ascii="Cambria Math" w:hAnsi="Cambria Math"/>
                  </w:rPr>
                </m:ctrlPr>
              </m:sSubPr>
              <m:e>
                <m:r>
                  <m:rPr>
                    <m:sty m:val="p"/>
                  </m:rPr>
                  <w:rPr>
                    <w:rFonts w:ascii="Cambria Math" w:hAnsi="Cambria Math"/>
                  </w:rPr>
                  <m:t>W</m:t>
                </m:r>
              </m:e>
              <m:sub>
                <m:r>
                  <m:rPr>
                    <m:sty m:val="p"/>
                  </m:rPr>
                  <w:rPr>
                    <w:rFonts w:ascii="Cambria Math" w:hAnsi="Cambria Math"/>
                  </w:rPr>
                  <m:t>SDP</m:t>
                </m:r>
              </m:sub>
            </m:sSub>
            <m:r>
              <m:rPr>
                <m:sty m:val="p"/>
              </m:rPr>
              <w:rPr>
                <w:rFonts w:ascii="Cambria Math" w:hAnsi="Cambria Math"/>
              </w:rPr>
              <m:t xml:space="preserve">SDP+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ls</m:t>
                </m:r>
              </m:sub>
            </m:sSub>
            <m:r>
              <m:rPr>
                <m:sty m:val="p"/>
              </m:rPr>
              <w:rPr>
                <w:rFonts w:ascii="Cambria Math" w:hAnsi="Cambria Math"/>
              </w:rPr>
              <m:t xml:space="preserve">LS+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SN</m:t>
                </m:r>
              </m:sub>
            </m:sSub>
            <m:r>
              <m:rPr>
                <m:sty m:val="p"/>
              </m:rPr>
              <w:rPr>
                <w:rFonts w:ascii="Cambria Math" w:hAnsi="Cambria Math"/>
              </w:rPr>
              <m:t xml:space="preserve">SN+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H</m:t>
                </m:r>
              </m:sub>
            </m:sSub>
            <m:r>
              <m:rPr>
                <m:sty m:val="p"/>
              </m:rPr>
              <w:rPr>
                <w:rFonts w:ascii="Cambria Math" w:hAnsi="Cambria Math"/>
              </w:rPr>
              <m:t xml:space="preserve">H+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F</m:t>
                </m:r>
              </m:sub>
            </m:sSub>
            <m:r>
              <m:rPr>
                <m:sty m:val="p"/>
              </m:rPr>
              <w:rPr>
                <w:rFonts w:ascii="Cambria Math" w:hAnsi="Cambria Math"/>
              </w:rPr>
              <m:t xml:space="preserve">F+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P</m:t>
                </m:r>
              </m:sub>
            </m:sSub>
            <m:r>
              <m:rPr>
                <m:sty m:val="p"/>
              </m:rPr>
              <w:rPr>
                <w:rFonts w:ascii="Cambria Math" w:hAnsi="Cambria Math"/>
              </w:rPr>
              <m:t xml:space="preserve">P+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W</m:t>
                </m:r>
              </m:sub>
            </m:sSub>
            <m:r>
              <m:rPr>
                <m:sty m:val="p"/>
              </m:rPr>
              <w:rPr>
                <w:rFonts w:ascii="Cambria Math" w:hAnsi="Cambria Math"/>
              </w:rPr>
              <m:t xml:space="preserve">W+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ND</m:t>
                </m:r>
              </m:sub>
            </m:sSub>
            <m:r>
              <m:rPr>
                <m:sty m:val="p"/>
              </m:rPr>
              <w:rPr>
                <w:rFonts w:ascii="Cambria Math" w:hAnsi="Cambria Math"/>
              </w:rPr>
              <m:t xml:space="preserve">ND +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CV</m:t>
                </m:r>
              </m:sub>
            </m:sSub>
            <m:r>
              <m:rPr>
                <m:sty m:val="p"/>
              </m:rPr>
              <w:rPr>
                <w:rFonts w:ascii="Cambria Math" w:hAnsi="Cambria Math"/>
              </w:rPr>
              <m:t xml:space="preserve">CV </m:t>
            </m:r>
          </m:num>
          <m:den>
            <m:sSub>
              <m:sSubPr>
                <m:ctrlPr>
                  <w:rPr>
                    <w:rFonts w:ascii="Cambria Math" w:hAnsi="Cambria Math"/>
                  </w:rPr>
                </m:ctrlPr>
              </m:sSubPr>
              <m:e>
                <m:r>
                  <m:rPr>
                    <m:sty m:val="p"/>
                  </m:rPr>
                  <w:rPr>
                    <w:rFonts w:ascii="Cambria Math" w:hAnsi="Cambria Math"/>
                  </w:rPr>
                  <m:t>W</m:t>
                </m:r>
              </m:e>
              <m:sub>
                <m:r>
                  <m:rPr>
                    <m:sty m:val="p"/>
                  </m:rPr>
                  <w:rPr>
                    <w:rFonts w:ascii="Cambria Math" w:hAnsi="Cambria Math"/>
                  </w:rPr>
                  <m:t>SDP</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LS</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SN</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H</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F</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P</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W</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ND</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CV</m:t>
                </m:r>
              </m:sub>
            </m:sSub>
            <m:r>
              <m:rPr>
                <m:sty m:val="p"/>
              </m:rPr>
              <w:rPr>
                <w:rFonts w:ascii="Cambria Math" w:hAnsi="Cambria Math"/>
              </w:rPr>
              <m:t>CV</m:t>
            </m:r>
          </m:den>
        </m:f>
      </m:oMath>
      <w:r>
        <w:tab/>
        <w:t xml:space="preserve">… </w:t>
      </w:r>
      <w:r>
        <w:fldChar w:fldCharType="begin"/>
      </w:r>
      <w:r>
        <w:instrText xml:space="preserve"> SEQ Equation \* ARABIC </w:instrText>
      </w:r>
      <w:r>
        <w:fldChar w:fldCharType="separate"/>
      </w:r>
      <w:r>
        <w:t>3</w:t>
      </w:r>
      <w:r>
        <w:fldChar w:fldCharType="end"/>
      </w:r>
    </w:p>
    <w:p w14:paraId="4D328B7D" w14:textId="77777777" w:rsidR="0099599B" w:rsidRDefault="00EB7A3F">
      <w:pPr>
        <w:spacing w:line="360" w:lineRule="auto"/>
        <w:jc w:val="both"/>
      </w:pPr>
      <w:r>
        <w:t>where LVI is the Livelihood Vulnerability Index for NJSMA. This equals the average of the nine major components (socio-demographic profile (SDP), livelihood strategies (LS), social networks (SN), health (H), food (F), production (P), water (W), natural disasters (ND) and climate variability (CV)), each weighted by their number of subcomponents.</w:t>
      </w:r>
    </w:p>
    <w:p w14:paraId="271E1693" w14:textId="77777777" w:rsidR="0099599B" w:rsidRDefault="00EB7A3F">
      <w:pPr>
        <w:spacing w:line="360" w:lineRule="auto"/>
        <w:jc w:val="both"/>
      </w:pPr>
      <w:r>
        <w:t xml:space="preserve">The LVI-IPCC indices were estimated from the weighted LVI main components and the standardized indicators (Equation 4). Changing events under climate variability and natural disaster occurrences was used in the estimation of exposure. Sensitivity was estimated by a </w:t>
      </w:r>
      <w:r>
        <w:t>district</w:t>
      </w:r>
      <w:r>
        <w:t xml:space="preserve">’s current state of health, food, production and water status. Adaptive capacity was also estimated by the socio-demographic profile, types of livelihood strategies employed and the strength of social network of surveyed households. The result of the LVI-IPCC falls into the range of -1 and +1. With − 1 representing least vulnerable score and + 1 representing the most vulnerable score. </w:t>
      </w:r>
    </w:p>
    <w:p w14:paraId="4854C8EA" w14:textId="77777777" w:rsidR="0099599B" w:rsidRDefault="00EB7A3F">
      <w:pPr>
        <w:spacing w:line="360" w:lineRule="auto"/>
        <w:jc w:val="center"/>
      </w:pPr>
      <m:oMath>
        <m:r>
          <m:rPr>
            <m:sty m:val="p"/>
          </m:rPr>
          <w:rPr>
            <w:rFonts w:ascii="Cambria Math" w:hAnsi="Cambria Math"/>
          </w:rPr>
          <m:t>LVI-IPCC=</m:t>
        </m:r>
        <m:d>
          <m:dPr>
            <m:ctrlPr>
              <w:rPr>
                <w:rFonts w:ascii="Cambria Math" w:hAnsi="Cambria Math"/>
              </w:rPr>
            </m:ctrlPr>
          </m:dPr>
          <m:e>
            <m:r>
              <m:rPr>
                <m:sty m:val="p"/>
              </m:rPr>
              <w:rPr>
                <w:rFonts w:ascii="Cambria Math" w:hAnsi="Cambria Math"/>
              </w:rPr>
              <m:t>Exposure-Adaptive Capacity</m:t>
            </m:r>
          </m:e>
        </m:d>
        <m:r>
          <m:rPr>
            <m:sty m:val="p"/>
          </m:rPr>
          <w:rPr>
            <w:rFonts w:ascii="Cambria Math" w:hAnsi="Cambria Math"/>
          </w:rPr>
          <m:t>*</m:t>
        </m:r>
        <m:r>
          <m:rPr>
            <m:sty m:val="p"/>
          </m:rPr>
          <w:rPr>
            <w:rFonts w:ascii="Cambria Math" w:hAnsi="Cambria Math"/>
          </w:rPr>
          <m:t>Sensitivity</m:t>
        </m:r>
      </m:oMath>
      <w:r>
        <w:tab/>
      </w:r>
      <w:r>
        <w:tab/>
        <w:t xml:space="preserve">… </w:t>
      </w:r>
      <w:r>
        <w:fldChar w:fldCharType="begin"/>
      </w:r>
      <w:r>
        <w:instrText xml:space="preserve"> SEQ Equation \* ARABIC </w:instrText>
      </w:r>
      <w:r>
        <w:fldChar w:fldCharType="separate"/>
      </w:r>
      <w:r>
        <w:t>4</w:t>
      </w:r>
      <w:r>
        <w:fldChar w:fldCharType="end"/>
      </w:r>
    </w:p>
    <w:p w14:paraId="77AC85BB" w14:textId="77777777" w:rsidR="0099599B" w:rsidRDefault="00EB7A3F">
      <w:pPr>
        <w:spacing w:line="360" w:lineRule="auto"/>
        <w:jc w:val="both"/>
      </w:pPr>
      <w:r>
        <w:t xml:space="preserve">The same subcomponents used in the calculation of LVI are employed in the calculation of the LVI–IPCC with divergence in the combination of the major components. That is, rather than computing the LVI by combining the major components in the initial step, they were firstly merged according to the three main IPCC categorizations: exposure, sensitivity and adaptive capacity. Comparison of the IPCC contributing factors and the major components of the LVI rather than the </w:t>
      </w:r>
      <w:r>
        <w:lastRenderedPageBreak/>
        <w:t>overall score is applied in this VA process. Through the series of consultative expert meetings conducted, the research team reached consensus and selected the final set of vulnerability indicators. The participatory and consultative approach ensured the selection of context appropriate indicators as the indicators were relevant to the study context. The table in Appendix 3 summarises the finalized major LVI components and sources assessed for the study.</w:t>
      </w:r>
    </w:p>
    <w:p w14:paraId="30935723" w14:textId="77777777" w:rsidR="0099599B" w:rsidRDefault="00EB7A3F">
      <w:pPr>
        <w:spacing w:line="360" w:lineRule="auto"/>
      </w:pPr>
      <w:r>
        <w:rPr>
          <w:noProof/>
        </w:rPr>
        <w:drawing>
          <wp:inline distT="0" distB="0" distL="114300" distR="114300" wp14:anchorId="142E8763" wp14:editId="580C8CDF">
            <wp:extent cx="5728335" cy="1951990"/>
            <wp:effectExtent l="9525" t="9525" r="22860" b="1968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pic:cNvPicPr>
                  </pic:nvPicPr>
                  <pic:blipFill>
                    <a:blip r:embed="rId26"/>
                    <a:stretch>
                      <a:fillRect/>
                    </a:stretch>
                  </pic:blipFill>
                  <pic:spPr>
                    <a:xfrm>
                      <a:off x="0" y="0"/>
                      <a:ext cx="5728335" cy="1951990"/>
                    </a:xfrm>
                    <a:prstGeom prst="rect">
                      <a:avLst/>
                    </a:prstGeom>
                    <a:noFill/>
                    <a:ln>
                      <a:solidFill>
                        <a:schemeClr val="tx1"/>
                      </a:solidFill>
                    </a:ln>
                  </pic:spPr>
                </pic:pic>
              </a:graphicData>
            </a:graphic>
          </wp:inline>
        </w:drawing>
      </w:r>
    </w:p>
    <w:p w14:paraId="1F82AB77"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8</w:t>
      </w:r>
      <w:r>
        <w:fldChar w:fldCharType="end"/>
      </w:r>
      <w:bookmarkStart w:id="44" w:name="_Toc19957"/>
      <w:r>
        <w:t>:  Grouping of major and subcomponents/indicators into LVI and LVI–IPCC</w:t>
      </w:r>
      <w:bookmarkEnd w:id="44"/>
    </w:p>
    <w:p w14:paraId="72F8AE39" w14:textId="77777777" w:rsidR="0099599B" w:rsidRDefault="0099599B">
      <w:pPr>
        <w:spacing w:line="360" w:lineRule="auto"/>
      </w:pPr>
    </w:p>
    <w:p w14:paraId="4940B12D" w14:textId="77777777" w:rsidR="0099599B" w:rsidRDefault="00EB7A3F">
      <w:pPr>
        <w:pStyle w:val="Heading3"/>
        <w:spacing w:line="360" w:lineRule="auto"/>
      </w:pPr>
      <w:r>
        <w:t>3.3.2 VA results and discussions</w:t>
      </w:r>
      <w:r>
        <w:tab/>
      </w:r>
    </w:p>
    <w:p w14:paraId="51D9D78D" w14:textId="77777777" w:rsidR="0099599B" w:rsidRDefault="00EB7A3F">
      <w:pPr>
        <w:pStyle w:val="Heading4"/>
        <w:spacing w:line="360" w:lineRule="auto"/>
        <w:rPr>
          <w:color w:val="47D459" w:themeColor="accent3" w:themeTint="99"/>
        </w:rPr>
      </w:pPr>
      <w:r>
        <w:rPr>
          <w:color w:val="47D459" w:themeColor="accent3" w:themeTint="99"/>
        </w:rPr>
        <w:t>3.3.2 1 Socio-demographic characteristics</w:t>
      </w:r>
      <w:r>
        <w:rPr>
          <w:color w:val="47D459" w:themeColor="accent3" w:themeTint="99"/>
        </w:rPr>
        <w:tab/>
        <w:t xml:space="preserve"> </w:t>
      </w:r>
    </w:p>
    <w:p w14:paraId="2D2F0BA6" w14:textId="77777777" w:rsidR="0099599B" w:rsidRDefault="00EB7A3F">
      <w:pPr>
        <w:spacing w:line="360" w:lineRule="auto"/>
        <w:jc w:val="both"/>
      </w:pPr>
      <w:r>
        <w:t>Ada East District exhibits a mixed livelihood system shaped by coastal, agrarian, and commercial activities. Agriculture dominates many communities, while trading, services, and salt mining drive economic life in market hubs and lagoon-adjacent areas. Gender distribution is generally balanced, though men dominate fishing and farming. The average age is 46, with younger populations in some towns and older populations in others. Educational attainment is uneven, with coastal and agrarian communities showing l</w:t>
      </w:r>
      <w:r>
        <w:t>ower formal education and towns like Big Ada having greater access to secondary and tertiary levels. Household sizes are large, often supporting 6–8 dependents, and nearly 80% of residents have lived in their communities for over 20 years, though outmigration for work is common. These sociodemographic features highlight vulnerabilities linked to dependence on climate-sensitive livelihoods, limited education, and constrained alternatives, influencing exposure, sensitivity, and adaptive capacity across the di</w:t>
      </w:r>
      <w:r>
        <w:t>strict.</w:t>
      </w:r>
    </w:p>
    <w:p w14:paraId="00DEA777" w14:textId="77777777" w:rsidR="0099599B" w:rsidRDefault="0099599B">
      <w:pPr>
        <w:spacing w:line="360" w:lineRule="auto"/>
        <w:jc w:val="both"/>
      </w:pPr>
    </w:p>
    <w:p w14:paraId="78CB30A2" w14:textId="77777777" w:rsidR="0099599B" w:rsidRDefault="00EB7A3F">
      <w:pPr>
        <w:spacing w:line="360" w:lineRule="auto"/>
        <w:jc w:val="both"/>
        <w:rPr>
          <w:b/>
        </w:rPr>
      </w:pPr>
      <w:r>
        <w:rPr>
          <w:b/>
        </w:rPr>
        <w:t>Gender and age profile</w:t>
      </w:r>
    </w:p>
    <w:p w14:paraId="26159DBB" w14:textId="77777777" w:rsidR="0099599B" w:rsidRDefault="00EB7A3F">
      <w:pPr>
        <w:spacing w:line="360" w:lineRule="auto"/>
        <w:jc w:val="both"/>
      </w:pPr>
      <w:r>
        <w:t xml:space="preserve">The survey was conducted across 12 selected communities within Ada East District, covering a total of 401 respondents (Table 1), of whom 220 were male (55%) and 181 female (45%). Overall, gender representation was fairly balanced across most communities, though some variations reflect the district’s social and occupational dynamics, particularly in fishing and farming areas, which are typically male-dominated. The average age of respondents was 46 years, with community-specific variations ranging from 40.6 </w:t>
      </w:r>
      <w:r>
        <w:t>years in Aflive to 51.8 years in Torgbloku. Torgbloku and Kasseh reported the oldest populations, with averages of 51.8 and 49.2 years respectively, while younger populations were recorded in Aflive (40.6 years), Obane (42.8 years), and Otrokpe (42.9 years). These differences suggest that certain communities have older populations, which may affect labor availability and influence vulnerability to climate risks, particularly in agriculture and fishing.</w:t>
      </w:r>
    </w:p>
    <w:p w14:paraId="2650DD16" w14:textId="77777777" w:rsidR="0099599B" w:rsidRDefault="00EB7A3F">
      <w:pPr>
        <w:spacing w:line="360" w:lineRule="auto"/>
        <w:jc w:val="both"/>
      </w:pPr>
      <w:r>
        <w:t>The demographic profile of Ada East District has important implications for climate resilience and development planning. The relatively mature age of respondents, combined with the concentration of older populations in certain communities, may limit labor availability for agriculture and fishing, sectors highly sensitive to climate variability. Gender imbalances in specific areas, driven by male-dominated occupations, could influence household decision-making and the distribution of adaptive responsibilitie</w:t>
      </w:r>
      <w:r>
        <w:t>s. Together, these factors suggest that targeted interventions such as support for older farmers, diversification of livelihoods, and inclusion of women in adaptive strategies are critical to enhancing the district’s overall adaptive capacity and resilience to climate risks.</w:t>
      </w:r>
    </w:p>
    <w:p w14:paraId="073E59C8" w14:textId="77777777" w:rsidR="0099599B" w:rsidRDefault="0099599B">
      <w:pPr>
        <w:spacing w:line="360" w:lineRule="auto"/>
        <w:jc w:val="both"/>
      </w:pPr>
    </w:p>
    <w:p w14:paraId="7E06F763" w14:textId="77777777" w:rsidR="0099599B" w:rsidRDefault="00EB7A3F">
      <w:pPr>
        <w:spacing w:line="360" w:lineRule="auto"/>
        <w:jc w:val="both"/>
        <w:rPr>
          <w:rFonts w:ascii="Arial" w:eastAsia="SimHei" w:hAnsi="Arial" w:cs="Arial"/>
          <w:i/>
          <w:iCs/>
          <w:color w:val="0000FF"/>
          <w:sz w:val="20"/>
        </w:rPr>
      </w:pPr>
      <w:r>
        <w:rPr>
          <w:rFonts w:ascii="Arial" w:eastAsia="SimHei" w:hAnsi="Arial" w:cs="Arial"/>
          <w:i/>
          <w:iCs/>
          <w:color w:val="0000FF"/>
          <w:sz w:val="20"/>
        </w:rPr>
        <w:t xml:space="preserve">Table </w:t>
      </w:r>
      <w:r>
        <w:rPr>
          <w:rFonts w:ascii="Arial" w:eastAsia="SimHei" w:hAnsi="Arial" w:cs="Arial"/>
          <w:i/>
          <w:iCs/>
          <w:color w:val="0000FF"/>
          <w:sz w:val="20"/>
        </w:rPr>
        <w:fldChar w:fldCharType="begin"/>
      </w:r>
      <w:r>
        <w:rPr>
          <w:rFonts w:ascii="Arial" w:eastAsia="SimHei" w:hAnsi="Arial" w:cs="Arial"/>
          <w:i/>
          <w:iCs/>
          <w:color w:val="0000FF"/>
          <w:sz w:val="20"/>
        </w:rPr>
        <w:instrText xml:space="preserve"> SEQ Table \* ARABIC </w:instrText>
      </w:r>
      <w:r>
        <w:rPr>
          <w:rFonts w:ascii="Arial" w:eastAsia="SimHei" w:hAnsi="Arial" w:cs="Arial"/>
          <w:i/>
          <w:iCs/>
          <w:color w:val="0000FF"/>
          <w:sz w:val="20"/>
        </w:rPr>
        <w:fldChar w:fldCharType="separate"/>
      </w:r>
      <w:r>
        <w:rPr>
          <w:rFonts w:ascii="Arial" w:eastAsia="SimHei" w:hAnsi="Arial" w:cs="Arial"/>
          <w:i/>
          <w:iCs/>
          <w:color w:val="0000FF"/>
          <w:sz w:val="20"/>
        </w:rPr>
        <w:t>4</w:t>
      </w:r>
      <w:r>
        <w:rPr>
          <w:rFonts w:ascii="Arial" w:eastAsia="SimHei" w:hAnsi="Arial" w:cs="Arial"/>
          <w:i/>
          <w:iCs/>
          <w:color w:val="0000FF"/>
          <w:sz w:val="20"/>
        </w:rPr>
        <w:fldChar w:fldCharType="end"/>
      </w:r>
      <w:bookmarkStart w:id="45" w:name="_Toc14580"/>
      <w:r>
        <w:rPr>
          <w:rFonts w:ascii="Arial" w:eastAsia="SimHei" w:hAnsi="Arial" w:cs="Arial"/>
          <w:i/>
          <w:iCs/>
          <w:color w:val="0000FF"/>
          <w:sz w:val="20"/>
        </w:rPr>
        <w:t>:  Gender and Age distribution of the respondents</w:t>
      </w:r>
      <w:bookmarkEnd w:id="45"/>
    </w:p>
    <w:tbl>
      <w:tblPr>
        <w:tblW w:w="0" w:type="auto"/>
        <w:jc w:val="center"/>
        <w:tblBorders>
          <w:bottom w:val="single" w:sz="4" w:space="0" w:color="auto"/>
          <w:insideV w:val="single" w:sz="4" w:space="0" w:color="auto"/>
        </w:tblBorders>
        <w:tblLayout w:type="fixed"/>
        <w:tblLook w:val="04A0" w:firstRow="1" w:lastRow="0" w:firstColumn="1" w:lastColumn="0" w:noHBand="0" w:noVBand="1"/>
      </w:tblPr>
      <w:tblGrid>
        <w:gridCol w:w="1718"/>
        <w:gridCol w:w="1093"/>
        <w:gridCol w:w="1093"/>
        <w:gridCol w:w="2317"/>
        <w:gridCol w:w="2317"/>
      </w:tblGrid>
      <w:tr w:rsidR="0099599B" w14:paraId="40244968" w14:textId="77777777">
        <w:trPr>
          <w:trHeight w:val="20"/>
          <w:jc w:val="center"/>
        </w:trPr>
        <w:tc>
          <w:tcPr>
            <w:tcW w:w="1718" w:type="dxa"/>
            <w:vMerge w:val="restart"/>
            <w:tcBorders>
              <w:top w:val="single" w:sz="4" w:space="0" w:color="auto"/>
              <w:left w:val="nil"/>
              <w:bottom w:val="single" w:sz="4" w:space="0" w:color="auto"/>
              <w:tl2br w:val="nil"/>
              <w:tr2bl w:val="nil"/>
            </w:tcBorders>
            <w:shd w:val="clear" w:color="auto" w:fill="BDD6EE"/>
            <w:vAlign w:val="bottom"/>
          </w:tcPr>
          <w:p w14:paraId="6C4D97D5" w14:textId="77777777" w:rsidR="0099599B" w:rsidRDefault="00EB7A3F">
            <w:pPr>
              <w:spacing w:line="360" w:lineRule="auto"/>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Community</w:t>
            </w:r>
          </w:p>
        </w:tc>
        <w:tc>
          <w:tcPr>
            <w:tcW w:w="2186" w:type="dxa"/>
            <w:gridSpan w:val="2"/>
            <w:tcBorders>
              <w:top w:val="single" w:sz="4" w:space="0" w:color="auto"/>
              <w:bottom w:val="single" w:sz="4" w:space="0" w:color="auto"/>
              <w:tl2br w:val="nil"/>
              <w:tr2bl w:val="nil"/>
            </w:tcBorders>
            <w:shd w:val="clear" w:color="auto" w:fill="BDD6EE"/>
          </w:tcPr>
          <w:p w14:paraId="77C6C4C8" w14:textId="77777777" w:rsidR="0099599B" w:rsidRDefault="00EB7A3F">
            <w:pPr>
              <w:spacing w:line="360" w:lineRule="auto"/>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Gender of respondent</w:t>
            </w:r>
          </w:p>
        </w:tc>
        <w:tc>
          <w:tcPr>
            <w:tcW w:w="2317" w:type="dxa"/>
            <w:vMerge w:val="restart"/>
            <w:tcBorders>
              <w:top w:val="single" w:sz="4" w:space="0" w:color="auto"/>
              <w:right w:val="nil"/>
              <w:tl2br w:val="nil"/>
              <w:tr2bl w:val="nil"/>
            </w:tcBorders>
            <w:shd w:val="clear" w:color="auto" w:fill="BDD6EE"/>
          </w:tcPr>
          <w:p w14:paraId="1F7816FB" w14:textId="77777777" w:rsidR="0099599B" w:rsidRDefault="00EB7A3F">
            <w:pPr>
              <w:spacing w:line="360" w:lineRule="auto"/>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Average Age of respondents</w:t>
            </w:r>
          </w:p>
        </w:tc>
        <w:tc>
          <w:tcPr>
            <w:tcW w:w="2317" w:type="dxa"/>
            <w:vMerge w:val="restart"/>
            <w:tcBorders>
              <w:top w:val="single" w:sz="4" w:space="0" w:color="auto"/>
              <w:right w:val="nil"/>
              <w:tl2br w:val="nil"/>
              <w:tr2bl w:val="nil"/>
            </w:tcBorders>
            <w:shd w:val="clear" w:color="auto" w:fill="BDD6EE"/>
          </w:tcPr>
          <w:p w14:paraId="5D166B6E" w14:textId="77777777" w:rsidR="0099599B" w:rsidRDefault="00EB7A3F">
            <w:pPr>
              <w:spacing w:line="360" w:lineRule="auto"/>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Total Number of Respondents</w:t>
            </w:r>
          </w:p>
        </w:tc>
      </w:tr>
      <w:tr w:rsidR="0099599B" w14:paraId="5C0E2ABD" w14:textId="77777777">
        <w:trPr>
          <w:trHeight w:val="20"/>
          <w:jc w:val="center"/>
        </w:trPr>
        <w:tc>
          <w:tcPr>
            <w:tcW w:w="1718" w:type="dxa"/>
            <w:vMerge/>
            <w:tcBorders>
              <w:top w:val="nil"/>
              <w:left w:val="nil"/>
              <w:bottom w:val="nil"/>
              <w:tl2br w:val="nil"/>
              <w:tr2bl w:val="nil"/>
            </w:tcBorders>
            <w:shd w:val="clear" w:color="auto" w:fill="BDD6EE"/>
            <w:vAlign w:val="bottom"/>
          </w:tcPr>
          <w:p w14:paraId="4B20EA94" w14:textId="77777777" w:rsidR="0099599B" w:rsidRDefault="0099599B">
            <w:pPr>
              <w:spacing w:line="360" w:lineRule="auto"/>
              <w:jc w:val="both"/>
              <w:rPr>
                <w:rFonts w:ascii="Calibri" w:eastAsia="Calibri" w:hAnsi="Calibri"/>
                <w:kern w:val="0"/>
                <w:sz w:val="22"/>
                <w:szCs w:val="22"/>
                <w:lang w:val="en-GB"/>
                <w14:ligatures w14:val="none"/>
              </w:rPr>
            </w:pPr>
          </w:p>
        </w:tc>
        <w:tc>
          <w:tcPr>
            <w:tcW w:w="1093" w:type="dxa"/>
            <w:tcBorders>
              <w:top w:val="nil"/>
              <w:bottom w:val="nil"/>
              <w:tl2br w:val="nil"/>
              <w:tr2bl w:val="nil"/>
            </w:tcBorders>
            <w:shd w:val="clear" w:color="auto" w:fill="BDD6EE"/>
          </w:tcPr>
          <w:p w14:paraId="48D41AC3"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Male</w:t>
            </w:r>
          </w:p>
        </w:tc>
        <w:tc>
          <w:tcPr>
            <w:tcW w:w="1093" w:type="dxa"/>
            <w:tcBorders>
              <w:top w:val="nil"/>
              <w:bottom w:val="nil"/>
              <w:tl2br w:val="nil"/>
              <w:tr2bl w:val="nil"/>
            </w:tcBorders>
            <w:shd w:val="clear" w:color="auto" w:fill="BDD6EE"/>
          </w:tcPr>
          <w:p w14:paraId="0C13935E"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Female</w:t>
            </w:r>
          </w:p>
        </w:tc>
        <w:tc>
          <w:tcPr>
            <w:tcW w:w="2317" w:type="dxa"/>
            <w:vMerge/>
            <w:tcBorders>
              <w:right w:val="nil"/>
              <w:tl2br w:val="nil"/>
              <w:tr2bl w:val="nil"/>
            </w:tcBorders>
            <w:shd w:val="clear" w:color="auto" w:fill="BDD6EE"/>
          </w:tcPr>
          <w:p w14:paraId="66093F88" w14:textId="77777777" w:rsidR="0099599B" w:rsidRDefault="0099599B">
            <w:pPr>
              <w:spacing w:line="360" w:lineRule="auto"/>
              <w:jc w:val="both"/>
              <w:rPr>
                <w:rFonts w:ascii="Calibri" w:eastAsia="Calibri" w:hAnsi="Calibri"/>
                <w:kern w:val="0"/>
                <w:sz w:val="22"/>
                <w:szCs w:val="22"/>
                <w:lang w:val="en-GB"/>
                <w14:ligatures w14:val="none"/>
              </w:rPr>
            </w:pPr>
          </w:p>
        </w:tc>
        <w:tc>
          <w:tcPr>
            <w:tcW w:w="2317" w:type="dxa"/>
            <w:vMerge/>
            <w:tcBorders>
              <w:right w:val="nil"/>
              <w:tl2br w:val="nil"/>
              <w:tr2bl w:val="nil"/>
            </w:tcBorders>
            <w:shd w:val="clear" w:color="auto" w:fill="BDD6EE"/>
          </w:tcPr>
          <w:p w14:paraId="0BD74211" w14:textId="77777777" w:rsidR="0099599B" w:rsidRDefault="0099599B">
            <w:pPr>
              <w:spacing w:line="360" w:lineRule="auto"/>
              <w:jc w:val="both"/>
              <w:rPr>
                <w:rFonts w:ascii="Calibri" w:eastAsia="Calibri" w:hAnsi="Calibri"/>
                <w:kern w:val="0"/>
                <w:sz w:val="22"/>
                <w:szCs w:val="22"/>
                <w:lang w:val="en-GB"/>
                <w14:ligatures w14:val="none"/>
              </w:rPr>
            </w:pPr>
          </w:p>
        </w:tc>
      </w:tr>
      <w:tr w:rsidR="0099599B" w14:paraId="12AFFAD2" w14:textId="77777777">
        <w:trPr>
          <w:trHeight w:val="20"/>
          <w:jc w:val="center"/>
        </w:trPr>
        <w:tc>
          <w:tcPr>
            <w:tcW w:w="1718" w:type="dxa"/>
            <w:tcBorders>
              <w:top w:val="single" w:sz="10" w:space="0" w:color="auto"/>
              <w:left w:val="nil"/>
              <w:bottom w:val="nil"/>
              <w:tl2br w:val="nil"/>
              <w:tr2bl w:val="nil"/>
            </w:tcBorders>
          </w:tcPr>
          <w:p w14:paraId="268A871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lastRenderedPageBreak/>
              <w:t>Aflive</w:t>
            </w:r>
          </w:p>
        </w:tc>
        <w:tc>
          <w:tcPr>
            <w:tcW w:w="1093" w:type="dxa"/>
            <w:tcBorders>
              <w:top w:val="single" w:sz="10" w:space="0" w:color="auto"/>
              <w:bottom w:val="nil"/>
              <w:tl2br w:val="nil"/>
              <w:tr2bl w:val="nil"/>
            </w:tcBorders>
          </w:tcPr>
          <w:p w14:paraId="2B6CCBC1"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26</w:t>
            </w:r>
          </w:p>
        </w:tc>
        <w:tc>
          <w:tcPr>
            <w:tcW w:w="1093" w:type="dxa"/>
            <w:tcBorders>
              <w:top w:val="single" w:sz="10" w:space="0" w:color="auto"/>
              <w:bottom w:val="nil"/>
              <w:tl2br w:val="nil"/>
              <w:tr2bl w:val="nil"/>
            </w:tcBorders>
          </w:tcPr>
          <w:p w14:paraId="07D17B8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9</w:t>
            </w:r>
          </w:p>
        </w:tc>
        <w:tc>
          <w:tcPr>
            <w:tcW w:w="2317" w:type="dxa"/>
            <w:tcBorders>
              <w:top w:val="single" w:sz="10" w:space="0" w:color="auto"/>
              <w:bottom w:val="nil"/>
              <w:right w:val="nil"/>
              <w:tl2br w:val="nil"/>
              <w:tr2bl w:val="nil"/>
            </w:tcBorders>
          </w:tcPr>
          <w:p w14:paraId="0A7C269C"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40.6</w:t>
            </w:r>
          </w:p>
        </w:tc>
        <w:tc>
          <w:tcPr>
            <w:tcW w:w="2317" w:type="dxa"/>
            <w:tcBorders>
              <w:top w:val="single" w:sz="10" w:space="0" w:color="auto"/>
              <w:bottom w:val="nil"/>
              <w:right w:val="nil"/>
              <w:tl2br w:val="nil"/>
              <w:tr2bl w:val="nil"/>
            </w:tcBorders>
          </w:tcPr>
          <w:p w14:paraId="57E1F63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35</w:t>
            </w:r>
          </w:p>
        </w:tc>
      </w:tr>
      <w:tr w:rsidR="0099599B" w14:paraId="01AA7BEB" w14:textId="77777777">
        <w:trPr>
          <w:trHeight w:val="20"/>
          <w:jc w:val="center"/>
        </w:trPr>
        <w:tc>
          <w:tcPr>
            <w:tcW w:w="1718" w:type="dxa"/>
            <w:tcBorders>
              <w:top w:val="nil"/>
              <w:left w:val="nil"/>
              <w:bottom w:val="nil"/>
              <w:tl2br w:val="nil"/>
              <w:tr2bl w:val="nil"/>
            </w:tcBorders>
          </w:tcPr>
          <w:p w14:paraId="0436056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Azizanya</w:t>
            </w:r>
          </w:p>
        </w:tc>
        <w:tc>
          <w:tcPr>
            <w:tcW w:w="1093" w:type="dxa"/>
            <w:tcBorders>
              <w:top w:val="nil"/>
              <w:bottom w:val="nil"/>
              <w:tl2br w:val="nil"/>
              <w:tr2bl w:val="nil"/>
            </w:tcBorders>
          </w:tcPr>
          <w:p w14:paraId="277A4CB0"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25</w:t>
            </w:r>
          </w:p>
        </w:tc>
        <w:tc>
          <w:tcPr>
            <w:tcW w:w="1093" w:type="dxa"/>
            <w:tcBorders>
              <w:top w:val="nil"/>
              <w:bottom w:val="nil"/>
              <w:tl2br w:val="nil"/>
              <w:tr2bl w:val="nil"/>
            </w:tcBorders>
          </w:tcPr>
          <w:p w14:paraId="19DCB09D"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10</w:t>
            </w:r>
          </w:p>
        </w:tc>
        <w:tc>
          <w:tcPr>
            <w:tcW w:w="2317" w:type="dxa"/>
            <w:tcBorders>
              <w:top w:val="nil"/>
              <w:bottom w:val="nil"/>
              <w:right w:val="nil"/>
              <w:tl2br w:val="nil"/>
              <w:tr2bl w:val="nil"/>
            </w:tcBorders>
          </w:tcPr>
          <w:p w14:paraId="4270451C"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44.5</w:t>
            </w:r>
          </w:p>
        </w:tc>
        <w:tc>
          <w:tcPr>
            <w:tcW w:w="2317" w:type="dxa"/>
            <w:tcBorders>
              <w:top w:val="nil"/>
              <w:bottom w:val="nil"/>
              <w:right w:val="nil"/>
              <w:tl2br w:val="nil"/>
              <w:tr2bl w:val="nil"/>
            </w:tcBorders>
          </w:tcPr>
          <w:p w14:paraId="6818275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35</w:t>
            </w:r>
          </w:p>
        </w:tc>
      </w:tr>
      <w:tr w:rsidR="0099599B" w14:paraId="6BECB352" w14:textId="77777777">
        <w:trPr>
          <w:trHeight w:val="20"/>
          <w:jc w:val="center"/>
        </w:trPr>
        <w:tc>
          <w:tcPr>
            <w:tcW w:w="1718" w:type="dxa"/>
            <w:tcBorders>
              <w:top w:val="nil"/>
              <w:left w:val="nil"/>
              <w:bottom w:val="nil"/>
              <w:tl2br w:val="nil"/>
              <w:tr2bl w:val="nil"/>
            </w:tcBorders>
          </w:tcPr>
          <w:p w14:paraId="0460A025"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Big Ada</w:t>
            </w:r>
          </w:p>
        </w:tc>
        <w:tc>
          <w:tcPr>
            <w:tcW w:w="1093" w:type="dxa"/>
            <w:tcBorders>
              <w:top w:val="nil"/>
              <w:bottom w:val="nil"/>
              <w:tl2br w:val="nil"/>
              <w:tr2bl w:val="nil"/>
            </w:tcBorders>
          </w:tcPr>
          <w:p w14:paraId="09EC60A5"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19</w:t>
            </w:r>
          </w:p>
        </w:tc>
        <w:tc>
          <w:tcPr>
            <w:tcW w:w="1093" w:type="dxa"/>
            <w:tcBorders>
              <w:top w:val="nil"/>
              <w:bottom w:val="nil"/>
              <w:tl2br w:val="nil"/>
              <w:tr2bl w:val="nil"/>
            </w:tcBorders>
          </w:tcPr>
          <w:p w14:paraId="4C446310"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24</w:t>
            </w:r>
          </w:p>
        </w:tc>
        <w:tc>
          <w:tcPr>
            <w:tcW w:w="2317" w:type="dxa"/>
            <w:tcBorders>
              <w:top w:val="nil"/>
              <w:bottom w:val="nil"/>
              <w:right w:val="nil"/>
              <w:tl2br w:val="nil"/>
              <w:tr2bl w:val="nil"/>
            </w:tcBorders>
          </w:tcPr>
          <w:p w14:paraId="7699322E"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47.6</w:t>
            </w:r>
          </w:p>
        </w:tc>
        <w:tc>
          <w:tcPr>
            <w:tcW w:w="2317" w:type="dxa"/>
            <w:tcBorders>
              <w:top w:val="nil"/>
              <w:bottom w:val="nil"/>
              <w:right w:val="nil"/>
              <w:tl2br w:val="nil"/>
              <w:tr2bl w:val="nil"/>
            </w:tcBorders>
          </w:tcPr>
          <w:p w14:paraId="6E27120F"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43</w:t>
            </w:r>
          </w:p>
        </w:tc>
      </w:tr>
      <w:tr w:rsidR="0099599B" w14:paraId="7DB92613" w14:textId="77777777">
        <w:trPr>
          <w:trHeight w:val="20"/>
          <w:jc w:val="center"/>
        </w:trPr>
        <w:tc>
          <w:tcPr>
            <w:tcW w:w="1718" w:type="dxa"/>
            <w:tcBorders>
              <w:top w:val="nil"/>
              <w:left w:val="nil"/>
              <w:bottom w:val="nil"/>
              <w:tl2br w:val="nil"/>
              <w:tr2bl w:val="nil"/>
            </w:tcBorders>
          </w:tcPr>
          <w:p w14:paraId="72A843F3"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Elavanyo</w:t>
            </w:r>
          </w:p>
        </w:tc>
        <w:tc>
          <w:tcPr>
            <w:tcW w:w="1093" w:type="dxa"/>
            <w:tcBorders>
              <w:top w:val="nil"/>
              <w:bottom w:val="nil"/>
              <w:tl2br w:val="nil"/>
              <w:tr2bl w:val="nil"/>
            </w:tcBorders>
          </w:tcPr>
          <w:p w14:paraId="3C43C886"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19</w:t>
            </w:r>
          </w:p>
        </w:tc>
        <w:tc>
          <w:tcPr>
            <w:tcW w:w="1093" w:type="dxa"/>
            <w:tcBorders>
              <w:top w:val="nil"/>
              <w:bottom w:val="nil"/>
              <w:tl2br w:val="nil"/>
              <w:tr2bl w:val="nil"/>
            </w:tcBorders>
          </w:tcPr>
          <w:p w14:paraId="0F709147"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22</w:t>
            </w:r>
          </w:p>
        </w:tc>
        <w:tc>
          <w:tcPr>
            <w:tcW w:w="2317" w:type="dxa"/>
            <w:tcBorders>
              <w:top w:val="nil"/>
              <w:bottom w:val="nil"/>
              <w:right w:val="nil"/>
              <w:tl2br w:val="nil"/>
              <w:tr2bl w:val="nil"/>
            </w:tcBorders>
          </w:tcPr>
          <w:p w14:paraId="6C82070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48.4</w:t>
            </w:r>
          </w:p>
        </w:tc>
        <w:tc>
          <w:tcPr>
            <w:tcW w:w="2317" w:type="dxa"/>
            <w:tcBorders>
              <w:top w:val="nil"/>
              <w:bottom w:val="nil"/>
              <w:right w:val="nil"/>
              <w:tl2br w:val="nil"/>
              <w:tr2bl w:val="nil"/>
            </w:tcBorders>
          </w:tcPr>
          <w:p w14:paraId="5354F7F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41</w:t>
            </w:r>
          </w:p>
        </w:tc>
      </w:tr>
      <w:tr w:rsidR="0099599B" w14:paraId="442A513B" w14:textId="77777777">
        <w:trPr>
          <w:trHeight w:val="20"/>
          <w:jc w:val="center"/>
        </w:trPr>
        <w:tc>
          <w:tcPr>
            <w:tcW w:w="1718" w:type="dxa"/>
            <w:tcBorders>
              <w:top w:val="nil"/>
              <w:left w:val="nil"/>
              <w:bottom w:val="nil"/>
              <w:tl2br w:val="nil"/>
              <w:tr2bl w:val="nil"/>
            </w:tcBorders>
          </w:tcPr>
          <w:p w14:paraId="42F6B052"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Kajanya</w:t>
            </w:r>
          </w:p>
        </w:tc>
        <w:tc>
          <w:tcPr>
            <w:tcW w:w="1093" w:type="dxa"/>
            <w:tcBorders>
              <w:top w:val="nil"/>
              <w:bottom w:val="nil"/>
              <w:tl2br w:val="nil"/>
              <w:tr2bl w:val="nil"/>
            </w:tcBorders>
          </w:tcPr>
          <w:p w14:paraId="0CD718B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26</w:t>
            </w:r>
          </w:p>
        </w:tc>
        <w:tc>
          <w:tcPr>
            <w:tcW w:w="1093" w:type="dxa"/>
            <w:tcBorders>
              <w:top w:val="nil"/>
              <w:bottom w:val="nil"/>
              <w:tl2br w:val="nil"/>
              <w:tr2bl w:val="nil"/>
            </w:tcBorders>
          </w:tcPr>
          <w:p w14:paraId="32DC505E"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9</w:t>
            </w:r>
          </w:p>
        </w:tc>
        <w:tc>
          <w:tcPr>
            <w:tcW w:w="2317" w:type="dxa"/>
            <w:tcBorders>
              <w:top w:val="nil"/>
              <w:bottom w:val="nil"/>
              <w:right w:val="nil"/>
              <w:tl2br w:val="nil"/>
              <w:tr2bl w:val="nil"/>
            </w:tcBorders>
          </w:tcPr>
          <w:p w14:paraId="4903F3D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45.8</w:t>
            </w:r>
          </w:p>
        </w:tc>
        <w:tc>
          <w:tcPr>
            <w:tcW w:w="2317" w:type="dxa"/>
            <w:tcBorders>
              <w:top w:val="nil"/>
              <w:bottom w:val="nil"/>
              <w:right w:val="nil"/>
              <w:tl2br w:val="nil"/>
              <w:tr2bl w:val="nil"/>
            </w:tcBorders>
          </w:tcPr>
          <w:p w14:paraId="37AEB38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35</w:t>
            </w:r>
          </w:p>
        </w:tc>
      </w:tr>
      <w:tr w:rsidR="0099599B" w14:paraId="70B7CF49" w14:textId="77777777">
        <w:trPr>
          <w:trHeight w:val="20"/>
          <w:jc w:val="center"/>
        </w:trPr>
        <w:tc>
          <w:tcPr>
            <w:tcW w:w="1718" w:type="dxa"/>
            <w:tcBorders>
              <w:top w:val="nil"/>
              <w:left w:val="nil"/>
              <w:bottom w:val="nil"/>
              <w:tl2br w:val="nil"/>
              <w:tr2bl w:val="nil"/>
            </w:tcBorders>
          </w:tcPr>
          <w:p w14:paraId="267B22B2"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Kasseh</w:t>
            </w:r>
          </w:p>
        </w:tc>
        <w:tc>
          <w:tcPr>
            <w:tcW w:w="1093" w:type="dxa"/>
            <w:tcBorders>
              <w:top w:val="nil"/>
              <w:bottom w:val="nil"/>
              <w:tl2br w:val="nil"/>
              <w:tr2bl w:val="nil"/>
            </w:tcBorders>
          </w:tcPr>
          <w:p w14:paraId="5CEECD78"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14</w:t>
            </w:r>
          </w:p>
        </w:tc>
        <w:tc>
          <w:tcPr>
            <w:tcW w:w="1093" w:type="dxa"/>
            <w:tcBorders>
              <w:top w:val="nil"/>
              <w:bottom w:val="nil"/>
              <w:tl2br w:val="nil"/>
              <w:tr2bl w:val="nil"/>
            </w:tcBorders>
          </w:tcPr>
          <w:p w14:paraId="504D6762"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21</w:t>
            </w:r>
          </w:p>
        </w:tc>
        <w:tc>
          <w:tcPr>
            <w:tcW w:w="2317" w:type="dxa"/>
            <w:tcBorders>
              <w:top w:val="nil"/>
              <w:bottom w:val="nil"/>
              <w:right w:val="nil"/>
              <w:tl2br w:val="nil"/>
              <w:tr2bl w:val="nil"/>
            </w:tcBorders>
          </w:tcPr>
          <w:p w14:paraId="4483FEEE"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49.2</w:t>
            </w:r>
          </w:p>
        </w:tc>
        <w:tc>
          <w:tcPr>
            <w:tcW w:w="2317" w:type="dxa"/>
            <w:tcBorders>
              <w:top w:val="nil"/>
              <w:bottom w:val="nil"/>
              <w:right w:val="nil"/>
              <w:tl2br w:val="nil"/>
              <w:tr2bl w:val="nil"/>
            </w:tcBorders>
          </w:tcPr>
          <w:p w14:paraId="16D7D29F"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35</w:t>
            </w:r>
          </w:p>
        </w:tc>
      </w:tr>
      <w:tr w:rsidR="0099599B" w14:paraId="585D8330" w14:textId="77777777">
        <w:trPr>
          <w:trHeight w:val="20"/>
          <w:jc w:val="center"/>
        </w:trPr>
        <w:tc>
          <w:tcPr>
            <w:tcW w:w="1718" w:type="dxa"/>
            <w:tcBorders>
              <w:top w:val="nil"/>
              <w:left w:val="nil"/>
              <w:bottom w:val="nil"/>
              <w:tl2br w:val="nil"/>
              <w:tr2bl w:val="nil"/>
            </w:tcBorders>
          </w:tcPr>
          <w:p w14:paraId="56982632"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Lufenya</w:t>
            </w:r>
          </w:p>
        </w:tc>
        <w:tc>
          <w:tcPr>
            <w:tcW w:w="1093" w:type="dxa"/>
            <w:tcBorders>
              <w:top w:val="nil"/>
              <w:bottom w:val="nil"/>
              <w:tl2br w:val="nil"/>
              <w:tr2bl w:val="nil"/>
            </w:tcBorders>
          </w:tcPr>
          <w:p w14:paraId="25FE1D9D"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21</w:t>
            </w:r>
          </w:p>
        </w:tc>
        <w:tc>
          <w:tcPr>
            <w:tcW w:w="1093" w:type="dxa"/>
            <w:tcBorders>
              <w:top w:val="nil"/>
              <w:bottom w:val="nil"/>
              <w:tl2br w:val="nil"/>
              <w:tr2bl w:val="nil"/>
            </w:tcBorders>
          </w:tcPr>
          <w:p w14:paraId="20C2D486"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13</w:t>
            </w:r>
          </w:p>
        </w:tc>
        <w:tc>
          <w:tcPr>
            <w:tcW w:w="2317" w:type="dxa"/>
            <w:tcBorders>
              <w:top w:val="nil"/>
              <w:bottom w:val="nil"/>
              <w:right w:val="nil"/>
              <w:tl2br w:val="nil"/>
              <w:tr2bl w:val="nil"/>
            </w:tcBorders>
          </w:tcPr>
          <w:p w14:paraId="6D5FCCE7"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43.7</w:t>
            </w:r>
          </w:p>
        </w:tc>
        <w:tc>
          <w:tcPr>
            <w:tcW w:w="2317" w:type="dxa"/>
            <w:tcBorders>
              <w:top w:val="nil"/>
              <w:bottom w:val="nil"/>
              <w:right w:val="nil"/>
              <w:tl2br w:val="nil"/>
              <w:tr2bl w:val="nil"/>
            </w:tcBorders>
          </w:tcPr>
          <w:p w14:paraId="0F44AAE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34</w:t>
            </w:r>
          </w:p>
        </w:tc>
      </w:tr>
      <w:tr w:rsidR="0099599B" w14:paraId="5114E3B5" w14:textId="77777777">
        <w:trPr>
          <w:trHeight w:val="20"/>
          <w:jc w:val="center"/>
        </w:trPr>
        <w:tc>
          <w:tcPr>
            <w:tcW w:w="1718" w:type="dxa"/>
            <w:tcBorders>
              <w:top w:val="nil"/>
              <w:left w:val="nil"/>
              <w:bottom w:val="nil"/>
              <w:tl2br w:val="nil"/>
              <w:tr2bl w:val="nil"/>
            </w:tcBorders>
          </w:tcPr>
          <w:p w14:paraId="167E9A6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Obane</w:t>
            </w:r>
          </w:p>
        </w:tc>
        <w:tc>
          <w:tcPr>
            <w:tcW w:w="1093" w:type="dxa"/>
            <w:tcBorders>
              <w:top w:val="nil"/>
              <w:bottom w:val="nil"/>
              <w:tl2br w:val="nil"/>
              <w:tr2bl w:val="nil"/>
            </w:tcBorders>
          </w:tcPr>
          <w:p w14:paraId="11F67D0C"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11</w:t>
            </w:r>
          </w:p>
        </w:tc>
        <w:tc>
          <w:tcPr>
            <w:tcW w:w="1093" w:type="dxa"/>
            <w:tcBorders>
              <w:top w:val="nil"/>
              <w:bottom w:val="nil"/>
              <w:tl2br w:val="nil"/>
              <w:tr2bl w:val="nil"/>
            </w:tcBorders>
          </w:tcPr>
          <w:p w14:paraId="3827F31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19</w:t>
            </w:r>
          </w:p>
        </w:tc>
        <w:tc>
          <w:tcPr>
            <w:tcW w:w="2317" w:type="dxa"/>
            <w:tcBorders>
              <w:top w:val="nil"/>
              <w:bottom w:val="nil"/>
              <w:right w:val="nil"/>
              <w:tl2br w:val="nil"/>
              <w:tr2bl w:val="nil"/>
            </w:tcBorders>
          </w:tcPr>
          <w:p w14:paraId="6FA5F9B2"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42.8</w:t>
            </w:r>
          </w:p>
        </w:tc>
        <w:tc>
          <w:tcPr>
            <w:tcW w:w="2317" w:type="dxa"/>
            <w:tcBorders>
              <w:top w:val="nil"/>
              <w:bottom w:val="nil"/>
              <w:right w:val="nil"/>
              <w:tl2br w:val="nil"/>
              <w:tr2bl w:val="nil"/>
            </w:tcBorders>
          </w:tcPr>
          <w:p w14:paraId="4D6905EB"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30</w:t>
            </w:r>
          </w:p>
        </w:tc>
      </w:tr>
      <w:tr w:rsidR="0099599B" w14:paraId="3A58E27B" w14:textId="77777777">
        <w:trPr>
          <w:trHeight w:val="20"/>
          <w:jc w:val="center"/>
        </w:trPr>
        <w:tc>
          <w:tcPr>
            <w:tcW w:w="1718" w:type="dxa"/>
            <w:tcBorders>
              <w:top w:val="nil"/>
              <w:left w:val="nil"/>
              <w:bottom w:val="nil"/>
              <w:tl2br w:val="nil"/>
              <w:tr2bl w:val="nil"/>
            </w:tcBorders>
          </w:tcPr>
          <w:p w14:paraId="297080B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Otrokpe</w:t>
            </w:r>
          </w:p>
        </w:tc>
        <w:tc>
          <w:tcPr>
            <w:tcW w:w="1093" w:type="dxa"/>
            <w:tcBorders>
              <w:top w:val="nil"/>
              <w:bottom w:val="nil"/>
              <w:tl2br w:val="nil"/>
              <w:tr2bl w:val="nil"/>
            </w:tcBorders>
          </w:tcPr>
          <w:p w14:paraId="5C064D16"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26</w:t>
            </w:r>
          </w:p>
        </w:tc>
        <w:tc>
          <w:tcPr>
            <w:tcW w:w="1093" w:type="dxa"/>
            <w:tcBorders>
              <w:top w:val="nil"/>
              <w:bottom w:val="nil"/>
              <w:tl2br w:val="nil"/>
              <w:tr2bl w:val="nil"/>
            </w:tcBorders>
          </w:tcPr>
          <w:p w14:paraId="78C81AB5"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10</w:t>
            </w:r>
          </w:p>
        </w:tc>
        <w:tc>
          <w:tcPr>
            <w:tcW w:w="2317" w:type="dxa"/>
            <w:tcBorders>
              <w:top w:val="nil"/>
              <w:bottom w:val="nil"/>
              <w:right w:val="nil"/>
              <w:tl2br w:val="nil"/>
              <w:tr2bl w:val="nil"/>
            </w:tcBorders>
          </w:tcPr>
          <w:p w14:paraId="2FB58A2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42.9</w:t>
            </w:r>
          </w:p>
        </w:tc>
        <w:tc>
          <w:tcPr>
            <w:tcW w:w="2317" w:type="dxa"/>
            <w:tcBorders>
              <w:top w:val="nil"/>
              <w:bottom w:val="nil"/>
              <w:right w:val="nil"/>
              <w:tl2br w:val="nil"/>
              <w:tr2bl w:val="nil"/>
            </w:tcBorders>
          </w:tcPr>
          <w:p w14:paraId="62824333"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36</w:t>
            </w:r>
          </w:p>
        </w:tc>
      </w:tr>
      <w:tr w:rsidR="0099599B" w14:paraId="70E19974" w14:textId="77777777">
        <w:trPr>
          <w:trHeight w:val="20"/>
          <w:jc w:val="center"/>
        </w:trPr>
        <w:tc>
          <w:tcPr>
            <w:tcW w:w="1718" w:type="dxa"/>
            <w:tcBorders>
              <w:top w:val="nil"/>
              <w:left w:val="nil"/>
              <w:bottom w:val="nil"/>
              <w:tl2br w:val="nil"/>
              <w:tr2bl w:val="nil"/>
            </w:tcBorders>
          </w:tcPr>
          <w:p w14:paraId="7EF5522F"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Pediatorkope</w:t>
            </w:r>
          </w:p>
        </w:tc>
        <w:tc>
          <w:tcPr>
            <w:tcW w:w="1093" w:type="dxa"/>
            <w:tcBorders>
              <w:top w:val="nil"/>
              <w:bottom w:val="nil"/>
              <w:tl2br w:val="nil"/>
              <w:tr2bl w:val="nil"/>
            </w:tcBorders>
          </w:tcPr>
          <w:p w14:paraId="245EDC8C"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5</w:t>
            </w:r>
          </w:p>
        </w:tc>
        <w:tc>
          <w:tcPr>
            <w:tcW w:w="1093" w:type="dxa"/>
            <w:tcBorders>
              <w:top w:val="nil"/>
              <w:bottom w:val="nil"/>
              <w:tl2br w:val="nil"/>
              <w:tr2bl w:val="nil"/>
            </w:tcBorders>
          </w:tcPr>
          <w:p w14:paraId="663FA9EB"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5</w:t>
            </w:r>
          </w:p>
        </w:tc>
        <w:tc>
          <w:tcPr>
            <w:tcW w:w="2317" w:type="dxa"/>
            <w:tcBorders>
              <w:top w:val="nil"/>
              <w:bottom w:val="nil"/>
              <w:right w:val="nil"/>
              <w:tl2br w:val="nil"/>
              <w:tr2bl w:val="nil"/>
            </w:tcBorders>
          </w:tcPr>
          <w:p w14:paraId="33668C0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48.8</w:t>
            </w:r>
          </w:p>
        </w:tc>
        <w:tc>
          <w:tcPr>
            <w:tcW w:w="2317" w:type="dxa"/>
            <w:tcBorders>
              <w:top w:val="nil"/>
              <w:bottom w:val="nil"/>
              <w:right w:val="nil"/>
              <w:tl2br w:val="nil"/>
              <w:tr2bl w:val="nil"/>
            </w:tcBorders>
          </w:tcPr>
          <w:p w14:paraId="001641A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10</w:t>
            </w:r>
          </w:p>
        </w:tc>
      </w:tr>
      <w:tr w:rsidR="0099599B" w14:paraId="4691D814" w14:textId="77777777">
        <w:trPr>
          <w:trHeight w:val="20"/>
          <w:jc w:val="center"/>
        </w:trPr>
        <w:tc>
          <w:tcPr>
            <w:tcW w:w="1718" w:type="dxa"/>
            <w:tcBorders>
              <w:top w:val="nil"/>
              <w:left w:val="nil"/>
              <w:bottom w:val="nil"/>
              <w:tl2br w:val="nil"/>
              <w:tr2bl w:val="nil"/>
            </w:tcBorders>
          </w:tcPr>
          <w:p w14:paraId="19C8E5AA" w14:textId="77777777" w:rsidR="0099599B" w:rsidRDefault="00EB7A3F">
            <w:pPr>
              <w:spacing w:line="360" w:lineRule="auto"/>
              <w:jc w:val="both"/>
              <w:rPr>
                <w:rFonts w:ascii="Calibri" w:eastAsia="Calibri" w:hAnsi="Calibri"/>
                <w:kern w:val="0"/>
                <w:sz w:val="22"/>
                <w:szCs w:val="22"/>
                <w14:ligatures w14:val="none"/>
              </w:rPr>
            </w:pPr>
            <w:r>
              <w:rPr>
                <w:rFonts w:ascii="Calibri" w:eastAsia="Calibri" w:hAnsi="Calibri"/>
                <w:kern w:val="0"/>
                <w:sz w:val="22"/>
                <w:szCs w:val="22"/>
                <w14:ligatures w14:val="none"/>
              </w:rPr>
              <w:t>Atortokope</w:t>
            </w:r>
          </w:p>
        </w:tc>
        <w:tc>
          <w:tcPr>
            <w:tcW w:w="1093" w:type="dxa"/>
            <w:tcBorders>
              <w:top w:val="nil"/>
              <w:bottom w:val="nil"/>
              <w:tl2br w:val="nil"/>
              <w:tr2bl w:val="nil"/>
            </w:tcBorders>
          </w:tcPr>
          <w:p w14:paraId="4B1F68DF"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12</w:t>
            </w:r>
          </w:p>
        </w:tc>
        <w:tc>
          <w:tcPr>
            <w:tcW w:w="1093" w:type="dxa"/>
            <w:tcBorders>
              <w:top w:val="nil"/>
              <w:bottom w:val="nil"/>
              <w:tl2br w:val="nil"/>
              <w:tr2bl w:val="nil"/>
            </w:tcBorders>
          </w:tcPr>
          <w:p w14:paraId="0F07231C"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20</w:t>
            </w:r>
          </w:p>
        </w:tc>
        <w:tc>
          <w:tcPr>
            <w:tcW w:w="2317" w:type="dxa"/>
            <w:tcBorders>
              <w:top w:val="nil"/>
              <w:bottom w:val="nil"/>
              <w:right w:val="nil"/>
              <w:tl2br w:val="nil"/>
              <w:tr2bl w:val="nil"/>
            </w:tcBorders>
          </w:tcPr>
          <w:p w14:paraId="1FDA9276"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46.6</w:t>
            </w:r>
          </w:p>
        </w:tc>
        <w:tc>
          <w:tcPr>
            <w:tcW w:w="2317" w:type="dxa"/>
            <w:tcBorders>
              <w:top w:val="nil"/>
              <w:bottom w:val="nil"/>
              <w:right w:val="nil"/>
              <w:tl2br w:val="nil"/>
              <w:tr2bl w:val="nil"/>
            </w:tcBorders>
          </w:tcPr>
          <w:p w14:paraId="1F316F91"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32</w:t>
            </w:r>
          </w:p>
        </w:tc>
      </w:tr>
      <w:tr w:rsidR="0099599B" w14:paraId="090F4452" w14:textId="77777777">
        <w:trPr>
          <w:trHeight w:val="20"/>
          <w:jc w:val="center"/>
        </w:trPr>
        <w:tc>
          <w:tcPr>
            <w:tcW w:w="1718" w:type="dxa"/>
            <w:tcBorders>
              <w:top w:val="nil"/>
              <w:left w:val="nil"/>
              <w:bottom w:val="nil"/>
              <w:tl2br w:val="nil"/>
              <w:tr2bl w:val="nil"/>
            </w:tcBorders>
          </w:tcPr>
          <w:p w14:paraId="641B5F4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Torgbloku</w:t>
            </w:r>
          </w:p>
        </w:tc>
        <w:tc>
          <w:tcPr>
            <w:tcW w:w="1093" w:type="dxa"/>
            <w:tcBorders>
              <w:top w:val="nil"/>
              <w:bottom w:val="nil"/>
              <w:tl2br w:val="nil"/>
              <w:tr2bl w:val="nil"/>
            </w:tcBorders>
          </w:tcPr>
          <w:p w14:paraId="0922920B"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16</w:t>
            </w:r>
          </w:p>
        </w:tc>
        <w:tc>
          <w:tcPr>
            <w:tcW w:w="1093" w:type="dxa"/>
            <w:tcBorders>
              <w:top w:val="nil"/>
              <w:bottom w:val="nil"/>
              <w:tl2br w:val="nil"/>
              <w:tr2bl w:val="nil"/>
            </w:tcBorders>
          </w:tcPr>
          <w:p w14:paraId="0E495769"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19</w:t>
            </w:r>
          </w:p>
        </w:tc>
        <w:tc>
          <w:tcPr>
            <w:tcW w:w="2317" w:type="dxa"/>
            <w:tcBorders>
              <w:top w:val="nil"/>
              <w:bottom w:val="nil"/>
              <w:right w:val="nil"/>
              <w:tl2br w:val="nil"/>
              <w:tr2bl w:val="nil"/>
            </w:tcBorders>
          </w:tcPr>
          <w:p w14:paraId="2EAB1F74"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51.8</w:t>
            </w:r>
          </w:p>
        </w:tc>
        <w:tc>
          <w:tcPr>
            <w:tcW w:w="2317" w:type="dxa"/>
            <w:tcBorders>
              <w:top w:val="nil"/>
              <w:bottom w:val="nil"/>
              <w:right w:val="nil"/>
              <w:tl2br w:val="nil"/>
              <w:tr2bl w:val="nil"/>
            </w:tcBorders>
          </w:tcPr>
          <w:p w14:paraId="75E2637A"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35</w:t>
            </w:r>
          </w:p>
        </w:tc>
      </w:tr>
      <w:tr w:rsidR="0099599B" w14:paraId="4821691F" w14:textId="77777777">
        <w:trPr>
          <w:trHeight w:val="20"/>
          <w:jc w:val="center"/>
        </w:trPr>
        <w:tc>
          <w:tcPr>
            <w:tcW w:w="1718" w:type="dxa"/>
            <w:tcBorders>
              <w:top w:val="single" w:sz="4" w:space="0" w:color="auto"/>
              <w:left w:val="nil"/>
              <w:tl2br w:val="nil"/>
              <w:tr2bl w:val="nil"/>
            </w:tcBorders>
          </w:tcPr>
          <w:p w14:paraId="29BCC127"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Total</w:t>
            </w:r>
          </w:p>
        </w:tc>
        <w:tc>
          <w:tcPr>
            <w:tcW w:w="1093" w:type="dxa"/>
            <w:tcBorders>
              <w:top w:val="single" w:sz="4" w:space="0" w:color="auto"/>
              <w:tl2br w:val="nil"/>
              <w:tr2bl w:val="nil"/>
            </w:tcBorders>
          </w:tcPr>
          <w:p w14:paraId="494AB3F5"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220</w:t>
            </w:r>
          </w:p>
        </w:tc>
        <w:tc>
          <w:tcPr>
            <w:tcW w:w="1093" w:type="dxa"/>
            <w:tcBorders>
              <w:top w:val="single" w:sz="4" w:space="0" w:color="auto"/>
              <w:tl2br w:val="nil"/>
              <w:tr2bl w:val="nil"/>
            </w:tcBorders>
          </w:tcPr>
          <w:p w14:paraId="51E6A016"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181</w:t>
            </w:r>
          </w:p>
        </w:tc>
        <w:tc>
          <w:tcPr>
            <w:tcW w:w="2317" w:type="dxa"/>
            <w:tcBorders>
              <w:top w:val="single" w:sz="4" w:space="0" w:color="auto"/>
              <w:right w:val="nil"/>
              <w:tl2br w:val="nil"/>
              <w:tr2bl w:val="nil"/>
            </w:tcBorders>
          </w:tcPr>
          <w:p w14:paraId="17983CEB" w14:textId="77777777" w:rsidR="0099599B" w:rsidRDefault="0099599B">
            <w:pPr>
              <w:spacing w:line="360" w:lineRule="auto"/>
              <w:jc w:val="both"/>
              <w:rPr>
                <w:rFonts w:ascii="Calibri" w:eastAsia="Calibri" w:hAnsi="Calibri"/>
                <w:kern w:val="0"/>
                <w:sz w:val="22"/>
                <w:szCs w:val="22"/>
                <w:lang w:val="en-GB"/>
                <w14:ligatures w14:val="none"/>
              </w:rPr>
            </w:pPr>
          </w:p>
        </w:tc>
        <w:tc>
          <w:tcPr>
            <w:tcW w:w="2317" w:type="dxa"/>
            <w:tcBorders>
              <w:top w:val="single" w:sz="4" w:space="0" w:color="auto"/>
              <w:right w:val="nil"/>
              <w:tl2br w:val="nil"/>
              <w:tr2bl w:val="nil"/>
            </w:tcBorders>
          </w:tcPr>
          <w:p w14:paraId="4665BD71" w14:textId="77777777" w:rsidR="0099599B" w:rsidRDefault="00EB7A3F">
            <w:pPr>
              <w:spacing w:line="360" w:lineRule="auto"/>
              <w:jc w:val="both"/>
              <w:rPr>
                <w:rFonts w:ascii="Calibri" w:eastAsia="Calibri" w:hAnsi="Calibri"/>
                <w:kern w:val="0"/>
                <w:sz w:val="22"/>
                <w:szCs w:val="22"/>
                <w:lang w:val="en-GB"/>
                <w14:ligatures w14:val="none"/>
              </w:rPr>
            </w:pPr>
            <w:r>
              <w:rPr>
                <w:rFonts w:ascii="Calibri" w:eastAsia="Calibri" w:hAnsi="Calibri"/>
                <w:kern w:val="0"/>
                <w:sz w:val="22"/>
                <w:szCs w:val="22"/>
                <w:lang w:val="en-GB"/>
                <w14:ligatures w14:val="none"/>
              </w:rPr>
              <w:t>401</w:t>
            </w:r>
          </w:p>
        </w:tc>
      </w:tr>
    </w:tbl>
    <w:p w14:paraId="44CAB8A2" w14:textId="77777777" w:rsidR="0099599B" w:rsidRDefault="0099599B">
      <w:pPr>
        <w:spacing w:line="360" w:lineRule="auto"/>
        <w:jc w:val="both"/>
        <w:rPr>
          <w:rFonts w:ascii="Calibri" w:eastAsia="Calibri" w:hAnsi="Calibri"/>
          <w:kern w:val="0"/>
          <w:szCs w:val="22"/>
          <w:lang w:val="en-GB"/>
          <w14:ligatures w14:val="none"/>
        </w:rPr>
      </w:pPr>
    </w:p>
    <w:p w14:paraId="3019E7AF" w14:textId="77777777" w:rsidR="0099599B" w:rsidRDefault="00EB7A3F">
      <w:pPr>
        <w:spacing w:line="360" w:lineRule="auto"/>
        <w:jc w:val="both"/>
        <w:rPr>
          <w:b/>
        </w:rPr>
      </w:pPr>
      <w:r>
        <w:rPr>
          <w:b/>
        </w:rPr>
        <w:t>Education Levels</w:t>
      </w:r>
    </w:p>
    <w:p w14:paraId="6CD9ED54" w14:textId="77777777" w:rsidR="0099599B" w:rsidRDefault="00EB7A3F">
      <w:pPr>
        <w:spacing w:line="360" w:lineRule="auto"/>
        <w:jc w:val="both"/>
      </w:pPr>
      <w:r>
        <w:t>The survey revealed significant variations in educational attainment across Ada East District. While most respondents had basic education, non-formal education remained substantial, particularly in coastal communities. Communities such as Obane, Otrokpe, and Kasseh recorded the highest shares of respondents with no formal education—sometimes exceeding 70% whereas Big Ada, Elavanyo, and Kajanya showed higher levels of secondary and vocational education. Tertiary education was limited but more visible in Kaja</w:t>
      </w:r>
      <w:r>
        <w:t>nya, Lufenya, and Torgbloku, with up to 10% of respondents reporting university or polytechnic-level training. These findings highlight intra-district disparities and reflect broader national trends, where rural coastal areas face challenges in access to quality education compared with urban centers.</w:t>
      </w:r>
    </w:p>
    <w:p w14:paraId="7F7297AA" w14:textId="77777777" w:rsidR="0099599B" w:rsidRDefault="00EB7A3F">
      <w:pPr>
        <w:spacing w:line="360" w:lineRule="auto"/>
        <w:jc w:val="both"/>
      </w:pPr>
      <w:r>
        <w:lastRenderedPageBreak/>
        <w:t xml:space="preserve">The uneven educational profile has important implications for adaptive capacity and development planning. Communities with low literacy are likely to face greater challenges in accessing information, adopting climate-smart practices, and participating in diversified livelihood opportunities. Addressing these gaps through targeted educational interventions particularly in non-formal and secondary education—would strengthen human capital, enhance resilience to climate risks, and promote equitable development </w:t>
      </w:r>
      <w:r>
        <w:t>across the district.</w:t>
      </w:r>
    </w:p>
    <w:p w14:paraId="6A31412D" w14:textId="77777777" w:rsidR="0099599B" w:rsidRDefault="0099599B">
      <w:pPr>
        <w:spacing w:line="360" w:lineRule="auto"/>
        <w:jc w:val="both"/>
      </w:pPr>
    </w:p>
    <w:p w14:paraId="7E9E5541" w14:textId="77777777" w:rsidR="0099599B" w:rsidRDefault="00EB7A3F">
      <w:pPr>
        <w:spacing w:line="360" w:lineRule="auto"/>
        <w:jc w:val="both"/>
      </w:pPr>
      <w:r>
        <w:t>‘</w:t>
      </w:r>
    </w:p>
    <w:p w14:paraId="1B398CC3" w14:textId="77777777" w:rsidR="0099599B" w:rsidRDefault="00EB7A3F">
      <w:pPr>
        <w:spacing w:line="360" w:lineRule="auto"/>
        <w:jc w:val="both"/>
        <w:rPr>
          <w:rFonts w:ascii="Calibri" w:eastAsia="Calibri" w:hAnsi="Calibri"/>
          <w:kern w:val="0"/>
          <w:szCs w:val="22"/>
          <w:lang w:val="en-GB"/>
          <w14:ligatures w14:val="none"/>
        </w:rPr>
      </w:pPr>
      <w:r>
        <w:rPr>
          <w:rFonts w:ascii="Calibri" w:eastAsia="Calibri" w:hAnsi="Calibri"/>
          <w:noProof/>
          <w:kern w:val="0"/>
          <w:szCs w:val="22"/>
          <w14:ligatures w14:val="none"/>
        </w:rPr>
        <w:drawing>
          <wp:inline distT="0" distB="0" distL="114300" distR="114300" wp14:anchorId="748531C8" wp14:editId="34D3BFA4">
            <wp:extent cx="5926455" cy="3105150"/>
            <wp:effectExtent l="0" t="0" r="17145" b="0"/>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9D9C8EB" w14:textId="77777777" w:rsidR="0099599B" w:rsidRDefault="00EB7A3F">
      <w:pPr>
        <w:spacing w:line="360" w:lineRule="auto"/>
        <w:jc w:val="both"/>
        <w:rPr>
          <w:rFonts w:ascii="Arial" w:eastAsia="SimHei" w:hAnsi="Arial" w:cs="Arial"/>
          <w:i/>
          <w:iCs/>
          <w:color w:val="0000FF"/>
          <w:sz w:val="20"/>
        </w:rPr>
      </w:pPr>
      <w:r>
        <w:rPr>
          <w:rFonts w:ascii="Arial" w:eastAsia="SimHei" w:hAnsi="Arial" w:cs="Arial"/>
          <w:i/>
          <w:iCs/>
          <w:color w:val="0000FF"/>
          <w:sz w:val="20"/>
        </w:rPr>
        <w:t xml:space="preserve">Figure </w:t>
      </w:r>
      <w:r>
        <w:rPr>
          <w:rFonts w:ascii="Arial" w:eastAsia="SimHei" w:hAnsi="Arial" w:cs="Arial"/>
          <w:i/>
          <w:iCs/>
          <w:color w:val="0000FF"/>
          <w:sz w:val="20"/>
        </w:rPr>
        <w:fldChar w:fldCharType="begin"/>
      </w:r>
      <w:r>
        <w:rPr>
          <w:rFonts w:ascii="Arial" w:eastAsia="SimHei" w:hAnsi="Arial" w:cs="Arial"/>
          <w:i/>
          <w:iCs/>
          <w:color w:val="0000FF"/>
          <w:sz w:val="20"/>
        </w:rPr>
        <w:instrText xml:space="preserve"> SEQ Figure \* ARABIC </w:instrText>
      </w:r>
      <w:r>
        <w:rPr>
          <w:rFonts w:ascii="Arial" w:eastAsia="SimHei" w:hAnsi="Arial" w:cs="Arial"/>
          <w:i/>
          <w:iCs/>
          <w:color w:val="0000FF"/>
          <w:sz w:val="20"/>
        </w:rPr>
        <w:fldChar w:fldCharType="separate"/>
      </w:r>
      <w:r>
        <w:rPr>
          <w:rFonts w:ascii="Arial" w:eastAsia="SimHei" w:hAnsi="Arial" w:cs="Arial"/>
          <w:i/>
          <w:iCs/>
          <w:color w:val="0000FF"/>
          <w:sz w:val="20"/>
        </w:rPr>
        <w:t>9</w:t>
      </w:r>
      <w:r>
        <w:rPr>
          <w:rFonts w:ascii="Arial" w:eastAsia="SimHei" w:hAnsi="Arial" w:cs="Arial"/>
          <w:i/>
          <w:iCs/>
          <w:color w:val="0000FF"/>
          <w:sz w:val="20"/>
        </w:rPr>
        <w:fldChar w:fldCharType="end"/>
      </w:r>
      <w:bookmarkStart w:id="46" w:name="_Toc30543"/>
      <w:r>
        <w:rPr>
          <w:rFonts w:ascii="Arial" w:eastAsia="SimHei" w:hAnsi="Arial" w:cs="Arial"/>
          <w:i/>
          <w:iCs/>
          <w:color w:val="0000FF"/>
          <w:sz w:val="20"/>
        </w:rPr>
        <w:t>: Levels of education across communitties in Ada East District</w:t>
      </w:r>
      <w:bookmarkEnd w:id="46"/>
    </w:p>
    <w:p w14:paraId="02FD9C11" w14:textId="77777777" w:rsidR="0099599B" w:rsidRDefault="0099599B">
      <w:pPr>
        <w:spacing w:line="360" w:lineRule="auto"/>
        <w:jc w:val="both"/>
        <w:rPr>
          <w:rFonts w:ascii="Calibri" w:eastAsia="Calibri" w:hAnsi="Calibri"/>
          <w:kern w:val="0"/>
          <w:szCs w:val="22"/>
          <w:lang w:val="en-GB"/>
          <w14:ligatures w14:val="none"/>
        </w:rPr>
      </w:pPr>
    </w:p>
    <w:p w14:paraId="5658F099" w14:textId="77777777" w:rsidR="0099599B" w:rsidRDefault="00EB7A3F">
      <w:pPr>
        <w:spacing w:line="360" w:lineRule="auto"/>
        <w:jc w:val="both"/>
        <w:rPr>
          <w:rFonts w:ascii="Calibri" w:eastAsia="Calibri" w:hAnsi="Calibri"/>
          <w:b/>
          <w:kern w:val="0"/>
          <w:szCs w:val="22"/>
          <w:lang w:val="en-GB"/>
          <w14:ligatures w14:val="none"/>
        </w:rPr>
      </w:pPr>
      <w:r>
        <w:rPr>
          <w:rFonts w:ascii="Calibri" w:eastAsia="Calibri" w:hAnsi="Calibri"/>
          <w:b/>
          <w:kern w:val="0"/>
          <w:szCs w:val="22"/>
          <w:lang w:val="en-GB"/>
          <w14:ligatures w14:val="none"/>
        </w:rPr>
        <w:t>Primary Occupation</w:t>
      </w:r>
    </w:p>
    <w:p w14:paraId="2D12EECF" w14:textId="77777777" w:rsidR="0099599B" w:rsidRDefault="00EB7A3F">
      <w:pPr>
        <w:spacing w:line="360" w:lineRule="auto"/>
        <w:jc w:val="both"/>
      </w:pPr>
      <w:r>
        <w:t xml:space="preserve">Livelihoods in Ada East District are highly diverse, shaped by its coastal, agrarian, and commercial communities. Fishing is the largest primary occupation, engaging 25% of respondents, particularly in coastal settlements such as Azizanya (80%), Aflive (66%), and Otrokpe (58%). Agriculture employs 21%, concentrated in inland communities like Elavanyo (46%), Kajanya (43%), and Lufenya (56%), focusing on cassava, maize, and vegetables. The private sector dominates </w:t>
      </w:r>
      <w:r>
        <w:lastRenderedPageBreak/>
        <w:t xml:space="preserve">employment for 38% of respondents, especially in trading, small businesses, and services in commercial hubs such as Kasseh (94%), Big Ada (51%), and </w:t>
      </w:r>
      <w:r>
        <w:t>Atortokope</w:t>
      </w:r>
      <w:r>
        <w:t xml:space="preserve"> (59%). Civil service employment is limited (6%) but notable in key towns. Other livelihoods include salt mining (3%), primarily in Lufenya. Unemployment is low (3.5%), reflecting widespread engagement in various livelihood activities.</w:t>
      </w:r>
    </w:p>
    <w:p w14:paraId="4A6041C8" w14:textId="77777777" w:rsidR="0099599B" w:rsidRDefault="00EB7A3F">
      <w:pPr>
        <w:spacing w:line="360" w:lineRule="auto"/>
        <w:jc w:val="both"/>
      </w:pPr>
      <w:r>
        <w:t>The district’s livelihood diversity supports household resilience but also indicates varying exposure to climate risks. Coastal fishing communities are highly vulnerable to tidal surges, sea-level rise, and changing fish stocks, while inland farmers face risks from erratic rainfall and drought. Dependence on small-scale trading and informal businesses may limit income stability during economic or climate shocks. Targeted interventions such as climate-smart agriculture, sustainable fisheries management, live</w:t>
      </w:r>
      <w:r>
        <w:t>lihood diversification, and support for informal sector actors are critical to strengthening adaptive capacity and reducing vulnerability across Ada East.</w:t>
      </w:r>
    </w:p>
    <w:p w14:paraId="69C8738A" w14:textId="77777777" w:rsidR="0099599B" w:rsidRDefault="0099599B">
      <w:pPr>
        <w:spacing w:line="360" w:lineRule="auto"/>
        <w:jc w:val="both"/>
      </w:pPr>
    </w:p>
    <w:p w14:paraId="4A0565D3" w14:textId="77777777" w:rsidR="0099599B" w:rsidRDefault="00EB7A3F">
      <w:pPr>
        <w:spacing w:line="360" w:lineRule="auto"/>
        <w:jc w:val="both"/>
        <w:rPr>
          <w:rFonts w:ascii="Calibri" w:eastAsia="Calibri" w:hAnsi="Calibri"/>
          <w:kern w:val="0"/>
          <w:szCs w:val="22"/>
          <w:lang w:val="en-GB"/>
          <w14:ligatures w14:val="none"/>
        </w:rPr>
      </w:pPr>
      <w:r>
        <w:rPr>
          <w:noProof/>
        </w:rPr>
        <w:drawing>
          <wp:inline distT="0" distB="0" distL="114300" distR="114300" wp14:anchorId="3A6BC554" wp14:editId="537DFDAF">
            <wp:extent cx="5281930" cy="3312795"/>
            <wp:effectExtent l="4445" t="4445" r="17145" b="5080"/>
            <wp:docPr id="3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2030AF" w14:textId="77777777" w:rsidR="0099599B" w:rsidRDefault="00EB7A3F">
      <w:pPr>
        <w:spacing w:line="360" w:lineRule="auto"/>
        <w:jc w:val="both"/>
        <w:rPr>
          <w:rFonts w:ascii="Arial" w:eastAsia="SimHei" w:hAnsi="Arial" w:cs="Arial"/>
          <w:i/>
          <w:iCs/>
          <w:color w:val="0000FF"/>
          <w:sz w:val="20"/>
        </w:rPr>
      </w:pPr>
      <w:r>
        <w:rPr>
          <w:rFonts w:ascii="Arial" w:eastAsia="SimHei" w:hAnsi="Arial" w:cs="Arial"/>
          <w:i/>
          <w:iCs/>
          <w:color w:val="0000FF"/>
          <w:sz w:val="20"/>
        </w:rPr>
        <w:t xml:space="preserve">Figure </w:t>
      </w:r>
      <w:r>
        <w:rPr>
          <w:rFonts w:ascii="Arial" w:eastAsia="SimHei" w:hAnsi="Arial" w:cs="Arial"/>
          <w:i/>
          <w:iCs/>
          <w:color w:val="0000FF"/>
          <w:sz w:val="20"/>
        </w:rPr>
        <w:fldChar w:fldCharType="begin"/>
      </w:r>
      <w:r>
        <w:rPr>
          <w:rFonts w:ascii="Arial" w:eastAsia="SimHei" w:hAnsi="Arial" w:cs="Arial"/>
          <w:i/>
          <w:iCs/>
          <w:color w:val="0000FF"/>
          <w:sz w:val="20"/>
        </w:rPr>
        <w:instrText xml:space="preserve"> SEQ Figure \* ARABIC </w:instrText>
      </w:r>
      <w:r>
        <w:rPr>
          <w:rFonts w:ascii="Arial" w:eastAsia="SimHei" w:hAnsi="Arial" w:cs="Arial"/>
          <w:i/>
          <w:iCs/>
          <w:color w:val="0000FF"/>
          <w:sz w:val="20"/>
        </w:rPr>
        <w:fldChar w:fldCharType="separate"/>
      </w:r>
      <w:r>
        <w:rPr>
          <w:rFonts w:ascii="Arial" w:eastAsia="SimHei" w:hAnsi="Arial" w:cs="Arial"/>
          <w:i/>
          <w:iCs/>
          <w:color w:val="0000FF"/>
          <w:sz w:val="20"/>
        </w:rPr>
        <w:t>10</w:t>
      </w:r>
      <w:r>
        <w:rPr>
          <w:rFonts w:ascii="Arial" w:eastAsia="SimHei" w:hAnsi="Arial" w:cs="Arial"/>
          <w:i/>
          <w:iCs/>
          <w:color w:val="0000FF"/>
          <w:sz w:val="20"/>
        </w:rPr>
        <w:fldChar w:fldCharType="end"/>
      </w:r>
      <w:bookmarkStart w:id="47" w:name="_Toc16598"/>
      <w:r>
        <w:rPr>
          <w:rFonts w:ascii="Arial" w:eastAsia="SimHei" w:hAnsi="Arial" w:cs="Arial"/>
          <w:i/>
          <w:iCs/>
          <w:color w:val="0000FF"/>
          <w:sz w:val="20"/>
        </w:rPr>
        <w:t>: Primary occupation of respondents</w:t>
      </w:r>
      <w:bookmarkEnd w:id="47"/>
    </w:p>
    <w:p w14:paraId="09F88C09" w14:textId="77777777" w:rsidR="0099599B" w:rsidRDefault="0099599B">
      <w:pPr>
        <w:spacing w:line="360" w:lineRule="auto"/>
        <w:jc w:val="both"/>
        <w:rPr>
          <w:rFonts w:ascii="Calibri" w:eastAsia="Calibri" w:hAnsi="Calibri"/>
          <w:kern w:val="0"/>
          <w:szCs w:val="22"/>
          <w:lang w:val="en-GB"/>
          <w14:ligatures w14:val="none"/>
        </w:rPr>
      </w:pPr>
    </w:p>
    <w:p w14:paraId="1F20DC4F" w14:textId="77777777" w:rsidR="0099599B" w:rsidRDefault="00EB7A3F">
      <w:pPr>
        <w:spacing w:line="360" w:lineRule="auto"/>
        <w:jc w:val="both"/>
        <w:rPr>
          <w:b/>
        </w:rPr>
      </w:pPr>
      <w:r>
        <w:rPr>
          <w:b/>
        </w:rPr>
        <w:t>Household dependents</w:t>
      </w:r>
    </w:p>
    <w:p w14:paraId="4AB08E87" w14:textId="77777777" w:rsidR="0099599B" w:rsidRDefault="00EB7A3F">
      <w:pPr>
        <w:spacing w:line="360" w:lineRule="auto"/>
        <w:jc w:val="both"/>
      </w:pPr>
      <w:r>
        <w:lastRenderedPageBreak/>
        <w:t>Household sizes in Ada East District tend to be medium to large. Across the district, 41% of households have 3–5 dependents, 34% have 6–8, and 18% have 9 or more, while only 7% report two or fewer. Larger households are common in coastal and agrarian communities such as Azizanya (77% with ≥6 dependents), Elavanyo (78%), and Otrokpe (67%), reflecting reliance on household labor for fishing and farming. Smaller households are more prevalent in commercial hubs like Big Ada (12% ≤2 dependents), Kajanya (9%), an</w:t>
      </w:r>
      <w:r>
        <w:t>d Torgbloku (20%), where economic activities rely less on family labor. Pediatorkope’s households largely fall within the 3–8 range.</w:t>
      </w:r>
    </w:p>
    <w:p w14:paraId="7258A3FC" w14:textId="77777777" w:rsidR="0099599B" w:rsidRDefault="00EB7A3F">
      <w:pPr>
        <w:spacing w:line="360" w:lineRule="auto"/>
        <w:jc w:val="both"/>
      </w:pPr>
      <w:r>
        <w:t>Larger households in fishing and farming communities may provide labor advantages but also increase dependency pressures, heightening vulnerability to climate shocks and economic instability. Smaller households in commercial areas may have more flexible income sources but rely less on internal labor, affecting resilience differently. Understanding these household dynamics is critical for designing targeted interventions in food security, livelihood support, and social protection programs across the district</w:t>
      </w:r>
      <w:r>
        <w:t>.</w:t>
      </w:r>
    </w:p>
    <w:p w14:paraId="4D97FDAC" w14:textId="77777777" w:rsidR="0099599B" w:rsidRDefault="00EB7A3F">
      <w:pPr>
        <w:spacing w:line="360" w:lineRule="auto"/>
        <w:jc w:val="both"/>
        <w:rPr>
          <w:rFonts w:ascii="Calibri" w:eastAsia="Calibri" w:hAnsi="Calibri"/>
          <w:kern w:val="0"/>
          <w:szCs w:val="22"/>
          <w:lang w:val="en-GB"/>
          <w14:ligatures w14:val="none"/>
        </w:rPr>
      </w:pPr>
      <w:r>
        <w:rPr>
          <w:noProof/>
        </w:rPr>
        <w:drawing>
          <wp:inline distT="0" distB="0" distL="114300" distR="114300" wp14:anchorId="2379F812" wp14:editId="192E87AF">
            <wp:extent cx="5423535" cy="3242945"/>
            <wp:effectExtent l="4445" t="4445" r="12700" b="13970"/>
            <wp:docPr id="4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EB8487"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11</w:t>
      </w:r>
      <w:r>
        <w:fldChar w:fldCharType="end"/>
      </w:r>
      <w:bookmarkStart w:id="48" w:name="_Toc25419"/>
      <w:r>
        <w:t>: Household dependents</w:t>
      </w:r>
      <w:bookmarkEnd w:id="48"/>
    </w:p>
    <w:p w14:paraId="18480F1B" w14:textId="77777777" w:rsidR="0099599B" w:rsidRDefault="0099599B">
      <w:pPr>
        <w:spacing w:line="360" w:lineRule="auto"/>
        <w:jc w:val="both"/>
        <w:rPr>
          <w:b/>
        </w:rPr>
      </w:pPr>
    </w:p>
    <w:p w14:paraId="1F782D0B" w14:textId="77777777" w:rsidR="0099599B" w:rsidRDefault="0099599B">
      <w:pPr>
        <w:spacing w:line="360" w:lineRule="auto"/>
        <w:jc w:val="both"/>
        <w:rPr>
          <w:b/>
        </w:rPr>
      </w:pPr>
    </w:p>
    <w:p w14:paraId="6064B53E" w14:textId="77777777" w:rsidR="0099599B" w:rsidRDefault="00EB7A3F">
      <w:pPr>
        <w:spacing w:line="360" w:lineRule="auto"/>
        <w:jc w:val="both"/>
        <w:rPr>
          <w:b/>
        </w:rPr>
      </w:pPr>
      <w:r>
        <w:rPr>
          <w:b/>
        </w:rPr>
        <w:lastRenderedPageBreak/>
        <w:t>Origin of respondents and period of stay in communities</w:t>
      </w:r>
    </w:p>
    <w:p w14:paraId="1289F8D9" w14:textId="77777777" w:rsidR="0099599B" w:rsidRDefault="00EB7A3F">
      <w:pPr>
        <w:spacing w:line="360" w:lineRule="auto"/>
        <w:jc w:val="both"/>
      </w:pPr>
      <w:r>
        <w:t xml:space="preserve">Long-term residency is prevalent across Ada East District, with 79% of respondents having lived in their community for over 20 years, 15% between 11–20 years, 5% for 5–10 years, and only 1.5% for less than five years. Coastal communities such as Otrokpe (100%), Azizanya (97%), and Aflive (97%) exhibit particularly entrenched populations, while </w:t>
      </w:r>
      <w:r>
        <w:t>Atortokope</w:t>
      </w:r>
      <w:r>
        <w:t xml:space="preserve"> shows greater population fluidity, with 59% reporting fewer than 20 years of residence. Inland agrarian communities like Elavanyo (73%) and Kajanya (86%) also demonstrate high settlement permanence. Commercial centers such as Big Ada and Kasseh, although still dominated by long-term residents, display somewhat higher turnover. Overall, these patterns indicate limited migration and strong attachment to land, sea, and community resources, especially in coastal and fishing settlements.</w:t>
      </w:r>
    </w:p>
    <w:p w14:paraId="521C50D5" w14:textId="77777777" w:rsidR="0099599B" w:rsidRDefault="00EB7A3F">
      <w:pPr>
        <w:spacing w:line="360" w:lineRule="auto"/>
        <w:jc w:val="both"/>
        <w:rPr>
          <w:rFonts w:ascii="Calibri" w:eastAsia="Calibri" w:hAnsi="Calibri"/>
          <w:kern w:val="0"/>
          <w:szCs w:val="22"/>
          <w:lang w:val="en-GB"/>
          <w14:ligatures w14:val="none"/>
        </w:rPr>
      </w:pPr>
      <w:r>
        <w:rPr>
          <w:noProof/>
        </w:rPr>
        <w:drawing>
          <wp:inline distT="0" distB="0" distL="114300" distR="114300" wp14:anchorId="29180072" wp14:editId="18D5CDEA">
            <wp:extent cx="5316855" cy="2710180"/>
            <wp:effectExtent l="4445" t="4445" r="12700" b="13335"/>
            <wp:docPr id="4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355D778" w14:textId="77777777" w:rsidR="0099599B" w:rsidRDefault="00EB7A3F">
      <w:pPr>
        <w:spacing w:line="360" w:lineRule="auto"/>
        <w:jc w:val="both"/>
        <w:rPr>
          <w:rFonts w:ascii="Arial" w:eastAsia="SimHei" w:hAnsi="Arial" w:cs="Arial"/>
          <w:i/>
          <w:iCs/>
          <w:color w:val="0000FF"/>
          <w:sz w:val="20"/>
        </w:rPr>
      </w:pPr>
      <w:r>
        <w:rPr>
          <w:rFonts w:ascii="Arial" w:eastAsia="SimHei" w:hAnsi="Arial" w:cs="Arial"/>
          <w:i/>
          <w:iCs/>
          <w:color w:val="0000FF"/>
          <w:sz w:val="20"/>
        </w:rPr>
        <w:t xml:space="preserve">Figure </w:t>
      </w:r>
      <w:r>
        <w:rPr>
          <w:rFonts w:ascii="Arial" w:eastAsia="SimHei" w:hAnsi="Arial" w:cs="Arial"/>
          <w:i/>
          <w:iCs/>
          <w:color w:val="0000FF"/>
          <w:sz w:val="20"/>
        </w:rPr>
        <w:fldChar w:fldCharType="begin"/>
      </w:r>
      <w:r>
        <w:rPr>
          <w:rFonts w:ascii="Arial" w:eastAsia="SimHei" w:hAnsi="Arial" w:cs="Arial"/>
          <w:i/>
          <w:iCs/>
          <w:color w:val="0000FF"/>
          <w:sz w:val="20"/>
        </w:rPr>
        <w:instrText xml:space="preserve"> SEQ Figure \* ARABIC </w:instrText>
      </w:r>
      <w:r>
        <w:rPr>
          <w:rFonts w:ascii="Arial" w:eastAsia="SimHei" w:hAnsi="Arial" w:cs="Arial"/>
          <w:i/>
          <w:iCs/>
          <w:color w:val="0000FF"/>
          <w:sz w:val="20"/>
        </w:rPr>
        <w:fldChar w:fldCharType="separate"/>
      </w:r>
      <w:r>
        <w:rPr>
          <w:rFonts w:ascii="Arial" w:eastAsia="SimHei" w:hAnsi="Arial" w:cs="Arial"/>
          <w:i/>
          <w:iCs/>
          <w:color w:val="0000FF"/>
          <w:sz w:val="20"/>
        </w:rPr>
        <w:t>12</w:t>
      </w:r>
      <w:r>
        <w:rPr>
          <w:rFonts w:ascii="Arial" w:eastAsia="SimHei" w:hAnsi="Arial" w:cs="Arial"/>
          <w:i/>
          <w:iCs/>
          <w:color w:val="0000FF"/>
          <w:sz w:val="20"/>
        </w:rPr>
        <w:fldChar w:fldCharType="end"/>
      </w:r>
      <w:bookmarkStart w:id="49" w:name="_Toc31866"/>
      <w:r>
        <w:rPr>
          <w:rFonts w:ascii="Arial" w:eastAsia="SimHei" w:hAnsi="Arial" w:cs="Arial"/>
          <w:i/>
          <w:iCs/>
          <w:color w:val="0000FF"/>
          <w:sz w:val="20"/>
        </w:rPr>
        <w:t>: Period of stay in communities</w:t>
      </w:r>
      <w:bookmarkEnd w:id="49"/>
    </w:p>
    <w:p w14:paraId="2F37D323" w14:textId="77777777" w:rsidR="0099599B" w:rsidRDefault="0099599B">
      <w:pPr>
        <w:spacing w:line="360" w:lineRule="auto"/>
        <w:jc w:val="both"/>
        <w:rPr>
          <w:rFonts w:ascii="Calibri" w:eastAsia="Calibri" w:hAnsi="Calibri"/>
          <w:kern w:val="0"/>
          <w:szCs w:val="22"/>
          <w:lang w:val="en-GB"/>
          <w14:ligatures w14:val="none"/>
        </w:rPr>
      </w:pPr>
    </w:p>
    <w:p w14:paraId="0BABB691" w14:textId="77777777" w:rsidR="0099599B" w:rsidRDefault="00EB7A3F">
      <w:pPr>
        <w:spacing w:line="360" w:lineRule="auto"/>
        <w:jc w:val="both"/>
        <w:rPr>
          <w:b/>
        </w:rPr>
      </w:pPr>
      <w:r>
        <w:rPr>
          <w:b/>
        </w:rPr>
        <w:t>Household Members Working Outside</w:t>
      </w:r>
    </w:p>
    <w:p w14:paraId="55878BC7" w14:textId="77777777" w:rsidR="0099599B" w:rsidRDefault="00EB7A3F">
      <w:pPr>
        <w:spacing w:line="360" w:lineRule="auto"/>
        <w:jc w:val="both"/>
      </w:pPr>
      <w:r>
        <w:t xml:space="preserve">Outmigration is widespread in Ada East, with 47% of households reporting at least one member working outside their community. The highest levels are observed in Obane (73%), Kajanya (63%), and </w:t>
      </w:r>
      <w:r>
        <w:t>Atortokope</w:t>
      </w:r>
      <w:r>
        <w:t xml:space="preserve"> (59%), where limited local economic opportunities drive reliance on remittances. Moderate outmigration occurs in Big Ada (42%), Elavanyo (52%), and </w:t>
      </w:r>
      <w:r>
        <w:lastRenderedPageBreak/>
        <w:t>Aflive/Azizanya (49%), while Otrokpe (8%) and Pediatorkope (30%) report much lower levels, indicating greater dependence on local resources. This pattern highlights a clear divide: inland and resource-limited communities rely more on external labor, whereas coastal fishing communities, despite higher exposure to hazards, remain more dependent on immed</w:t>
      </w:r>
      <w:r>
        <w:t>iate local livelihoods.</w:t>
      </w:r>
    </w:p>
    <w:p w14:paraId="4C0A267C" w14:textId="77777777" w:rsidR="0099599B" w:rsidRDefault="00EB7A3F">
      <w:pPr>
        <w:spacing w:line="360" w:lineRule="auto"/>
        <w:jc w:val="both"/>
      </w:pPr>
      <w:r>
        <w:t>High outmigration in inland and resource-limited communities indicates dependence on remittances to supplement livelihoods, which can buffer households against local economic or climate shocks but may also reduce labor availability for agriculture and local development activities. Conversely, low outmigration in coastal fishing communities suggests strong reliance on local resources, which increases exposure to climate hazards such as floods, tidal surges, and sea-level rise. These patterns highlight the ne</w:t>
      </w:r>
      <w:r>
        <w:t>ed for tailored interventions: supporting income diversification in inland communities and enhancing climate-resilient livelihood options in coastal areas to strengthen adaptive capacity across Ada East.</w:t>
      </w:r>
    </w:p>
    <w:p w14:paraId="3C73510B" w14:textId="77777777" w:rsidR="0099599B" w:rsidRDefault="0099599B">
      <w:pPr>
        <w:spacing w:line="360" w:lineRule="auto"/>
        <w:jc w:val="both"/>
      </w:pPr>
    </w:p>
    <w:p w14:paraId="2EF8DF59" w14:textId="77777777" w:rsidR="0099599B" w:rsidRDefault="00EB7A3F">
      <w:pPr>
        <w:spacing w:line="360" w:lineRule="auto"/>
        <w:jc w:val="both"/>
        <w:rPr>
          <w:rFonts w:ascii="Calibri" w:eastAsia="Calibri" w:hAnsi="Calibri"/>
          <w:kern w:val="0"/>
          <w:szCs w:val="22"/>
          <w:lang w:val="en-GB"/>
          <w14:ligatures w14:val="none"/>
        </w:rPr>
      </w:pPr>
      <w:r>
        <w:rPr>
          <w:rFonts w:ascii="Calibri" w:eastAsia="Calibri" w:hAnsi="Calibri"/>
          <w:noProof/>
          <w:kern w:val="0"/>
          <w:szCs w:val="22"/>
          <w14:ligatures w14:val="none"/>
        </w:rPr>
        <w:drawing>
          <wp:inline distT="0" distB="0" distL="0" distR="0" wp14:anchorId="5D493BD5" wp14:editId="5D895290">
            <wp:extent cx="5543550" cy="3267075"/>
            <wp:effectExtent l="0" t="0" r="0"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9D36B2" w14:textId="77777777" w:rsidR="0099599B" w:rsidRDefault="00EB7A3F">
      <w:pPr>
        <w:spacing w:line="360" w:lineRule="auto"/>
        <w:jc w:val="both"/>
        <w:rPr>
          <w:rFonts w:ascii="Arial" w:eastAsia="SimHei" w:hAnsi="Arial" w:cs="Arial"/>
          <w:i/>
          <w:iCs/>
          <w:color w:val="0000FF"/>
          <w:sz w:val="20"/>
        </w:rPr>
      </w:pPr>
      <w:r>
        <w:rPr>
          <w:rFonts w:ascii="Arial" w:eastAsia="SimHei" w:hAnsi="Arial" w:cs="Arial"/>
          <w:i/>
          <w:iCs/>
          <w:color w:val="0000FF"/>
          <w:sz w:val="20"/>
        </w:rPr>
        <w:t xml:space="preserve">Figure </w:t>
      </w:r>
      <w:r>
        <w:rPr>
          <w:rFonts w:ascii="Arial" w:eastAsia="SimHei" w:hAnsi="Arial" w:cs="Arial"/>
          <w:i/>
          <w:iCs/>
          <w:color w:val="0000FF"/>
          <w:sz w:val="20"/>
        </w:rPr>
        <w:fldChar w:fldCharType="begin"/>
      </w:r>
      <w:r>
        <w:rPr>
          <w:rFonts w:ascii="Arial" w:eastAsia="SimHei" w:hAnsi="Arial" w:cs="Arial"/>
          <w:i/>
          <w:iCs/>
          <w:color w:val="0000FF"/>
          <w:sz w:val="20"/>
        </w:rPr>
        <w:instrText xml:space="preserve"> SEQ Figure \* ARABIC </w:instrText>
      </w:r>
      <w:r>
        <w:rPr>
          <w:rFonts w:ascii="Arial" w:eastAsia="SimHei" w:hAnsi="Arial" w:cs="Arial"/>
          <w:i/>
          <w:iCs/>
          <w:color w:val="0000FF"/>
          <w:sz w:val="20"/>
        </w:rPr>
        <w:fldChar w:fldCharType="separate"/>
      </w:r>
      <w:r>
        <w:rPr>
          <w:rFonts w:ascii="Arial" w:eastAsia="SimHei" w:hAnsi="Arial" w:cs="Arial"/>
          <w:i/>
          <w:iCs/>
          <w:color w:val="0000FF"/>
          <w:sz w:val="20"/>
        </w:rPr>
        <w:t>13</w:t>
      </w:r>
      <w:r>
        <w:rPr>
          <w:rFonts w:ascii="Arial" w:eastAsia="SimHei" w:hAnsi="Arial" w:cs="Arial"/>
          <w:i/>
          <w:iCs/>
          <w:color w:val="0000FF"/>
          <w:sz w:val="20"/>
        </w:rPr>
        <w:fldChar w:fldCharType="end"/>
      </w:r>
      <w:bookmarkStart w:id="50" w:name="_Toc20242"/>
      <w:r>
        <w:rPr>
          <w:rFonts w:ascii="Arial" w:eastAsia="SimHei" w:hAnsi="Arial" w:cs="Arial"/>
          <w:i/>
          <w:iCs/>
          <w:color w:val="0000FF"/>
          <w:sz w:val="20"/>
        </w:rPr>
        <w:t>: Household Members Working Outside</w:t>
      </w:r>
      <w:bookmarkEnd w:id="50"/>
    </w:p>
    <w:p w14:paraId="56480A94" w14:textId="77777777" w:rsidR="0099599B" w:rsidRDefault="0099599B">
      <w:pPr>
        <w:spacing w:line="360" w:lineRule="auto"/>
        <w:jc w:val="both"/>
        <w:rPr>
          <w:rFonts w:ascii="Calibri" w:eastAsia="Calibri" w:hAnsi="Calibri"/>
          <w:kern w:val="0"/>
          <w:szCs w:val="22"/>
          <w14:ligatures w14:val="none"/>
        </w:rPr>
      </w:pPr>
    </w:p>
    <w:p w14:paraId="24CAA749" w14:textId="77777777" w:rsidR="0099599B" w:rsidRDefault="00EB7A3F">
      <w:pPr>
        <w:spacing w:line="360" w:lineRule="auto"/>
        <w:jc w:val="both"/>
        <w:rPr>
          <w:rFonts w:ascii="Calibri" w:eastAsia="Calibri" w:hAnsi="Calibri"/>
          <w:b/>
          <w:bCs/>
          <w:kern w:val="0"/>
          <w:szCs w:val="22"/>
          <w14:ligatures w14:val="none"/>
        </w:rPr>
      </w:pPr>
      <w:r>
        <w:rPr>
          <w:rFonts w:ascii="Calibri" w:eastAsia="Calibri" w:hAnsi="Calibri"/>
          <w:b/>
          <w:bCs/>
          <w:kern w:val="0"/>
          <w:szCs w:val="22"/>
          <w14:ligatures w14:val="none"/>
        </w:rPr>
        <w:t>Summary of Ada East Socio-demographic Profile</w:t>
      </w:r>
    </w:p>
    <w:tbl>
      <w:tblPr>
        <w:tblStyle w:val="GridTable4-Accent52"/>
        <w:tblW w:w="5382" w:type="pct"/>
        <w:tblLook w:val="04A0" w:firstRow="1" w:lastRow="0" w:firstColumn="1" w:lastColumn="0" w:noHBand="0" w:noVBand="1"/>
      </w:tblPr>
      <w:tblGrid>
        <w:gridCol w:w="2125"/>
        <w:gridCol w:w="3547"/>
        <w:gridCol w:w="4392"/>
      </w:tblGrid>
      <w:tr w:rsidR="0099599B" w14:paraId="6F6C0ECD" w14:textId="77777777" w:rsidTr="0099599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56" w:type="pct"/>
          </w:tcPr>
          <w:p w14:paraId="0D8054FE" w14:textId="77777777" w:rsidR="0099599B" w:rsidRDefault="00EB7A3F">
            <w:pPr>
              <w:spacing w:after="0" w:line="360" w:lineRule="auto"/>
              <w:jc w:val="both"/>
              <w:rPr>
                <w:rFonts w:ascii="Calibri" w:eastAsia="Calibri" w:hAnsi="Calibri"/>
                <w:kern w:val="0"/>
                <w:szCs w:val="22"/>
                <w14:ligatures w14:val="none"/>
              </w:rPr>
            </w:pPr>
            <w:r>
              <w:rPr>
                <w:rFonts w:ascii="Calibri" w:eastAsia="Calibri" w:hAnsi="Calibri"/>
                <w:kern w:val="0"/>
                <w:szCs w:val="22"/>
                <w:lang w:val="en-GB"/>
                <w14:ligatures w14:val="none"/>
              </w:rPr>
              <w:lastRenderedPageBreak/>
              <w:t>Sociodemographic Variable</w:t>
            </w:r>
          </w:p>
        </w:tc>
        <w:tc>
          <w:tcPr>
            <w:tcW w:w="1762" w:type="pct"/>
          </w:tcPr>
          <w:p w14:paraId="0F4953F7" w14:textId="77777777" w:rsidR="0099599B" w:rsidRDefault="00EB7A3F">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Key Findings</w:t>
            </w:r>
          </w:p>
        </w:tc>
        <w:tc>
          <w:tcPr>
            <w:tcW w:w="2182" w:type="pct"/>
          </w:tcPr>
          <w:p w14:paraId="0B26ED58" w14:textId="77777777" w:rsidR="0099599B" w:rsidRDefault="00EB7A3F">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Implications for Climate Vulnerability</w:t>
            </w:r>
          </w:p>
        </w:tc>
      </w:tr>
      <w:tr w:rsidR="0099599B" w14:paraId="4783CD10" w14:textId="77777777" w:rsidTr="0099599B">
        <w:trPr>
          <w:trHeight w:val="20"/>
        </w:trPr>
        <w:tc>
          <w:tcPr>
            <w:cnfStyle w:val="001000000000" w:firstRow="0" w:lastRow="0" w:firstColumn="1" w:lastColumn="0" w:oddVBand="0" w:evenVBand="0" w:oddHBand="0" w:evenHBand="0" w:firstRowFirstColumn="0" w:firstRowLastColumn="0" w:lastRowFirstColumn="0" w:lastRowLastColumn="0"/>
            <w:tcW w:w="1056" w:type="pct"/>
            <w:shd w:val="clear" w:color="auto" w:fill="D9E2F3"/>
          </w:tcPr>
          <w:p w14:paraId="1F80B367" w14:textId="77777777" w:rsidR="0099599B" w:rsidRDefault="00EB7A3F">
            <w:pPr>
              <w:spacing w:after="0" w:line="360" w:lineRule="auto"/>
              <w:jc w:val="both"/>
              <w:rPr>
                <w:rFonts w:ascii="Calibri" w:eastAsia="Calibri" w:hAnsi="Calibri"/>
                <w:kern w:val="0"/>
                <w:szCs w:val="22"/>
                <w:lang w:val="en-GB"/>
                <w14:ligatures w14:val="none"/>
              </w:rPr>
            </w:pPr>
            <w:r>
              <w:rPr>
                <w:rFonts w:ascii="Calibri" w:eastAsia="Calibri" w:hAnsi="Calibri"/>
                <w:kern w:val="0"/>
                <w:szCs w:val="22"/>
                <w:lang w:val="en-GB"/>
                <w14:ligatures w14:val="none"/>
              </w:rPr>
              <w:t>Gender &amp; Age</w:t>
            </w:r>
          </w:p>
        </w:tc>
        <w:tc>
          <w:tcPr>
            <w:tcW w:w="1762" w:type="pct"/>
            <w:shd w:val="clear" w:color="auto" w:fill="D9E2F3"/>
          </w:tcPr>
          <w:p w14:paraId="276F43AC"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55% male, 45% female; average age 46 years; older populations in Torgbloku (51.8 yrs) and Kasseh (49.2 yrs); younger in Aflive and Obane.</w:t>
            </w:r>
          </w:p>
        </w:tc>
        <w:tc>
          <w:tcPr>
            <w:tcW w:w="2182" w:type="pct"/>
            <w:shd w:val="clear" w:color="auto" w:fill="D9E2F3"/>
          </w:tcPr>
          <w:p w14:paraId="7283DB5F"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Older populations may have reduced labor capacity for adaptation; male dominance in fishing and farming exposes households to sector-specific risks.</w:t>
            </w:r>
          </w:p>
        </w:tc>
      </w:tr>
      <w:tr w:rsidR="0099599B" w14:paraId="7EDFB4F1" w14:textId="77777777" w:rsidTr="0099599B">
        <w:trPr>
          <w:trHeight w:val="20"/>
        </w:trPr>
        <w:tc>
          <w:tcPr>
            <w:cnfStyle w:val="001000000000" w:firstRow="0" w:lastRow="0" w:firstColumn="1" w:lastColumn="0" w:oddVBand="0" w:evenVBand="0" w:oddHBand="0" w:evenHBand="0" w:firstRowFirstColumn="0" w:firstRowLastColumn="0" w:lastRowFirstColumn="0" w:lastRowLastColumn="0"/>
            <w:tcW w:w="1056" w:type="pct"/>
          </w:tcPr>
          <w:p w14:paraId="265EBAE7" w14:textId="77777777" w:rsidR="0099599B" w:rsidRDefault="00EB7A3F">
            <w:pPr>
              <w:spacing w:after="0" w:line="360" w:lineRule="auto"/>
              <w:jc w:val="both"/>
              <w:rPr>
                <w:rFonts w:ascii="Calibri" w:eastAsia="Calibri" w:hAnsi="Calibri"/>
                <w:kern w:val="0"/>
                <w:szCs w:val="22"/>
                <w:lang w:val="en-GB"/>
                <w14:ligatures w14:val="none"/>
              </w:rPr>
            </w:pPr>
            <w:r>
              <w:rPr>
                <w:rFonts w:ascii="Calibri" w:eastAsia="Calibri" w:hAnsi="Calibri"/>
                <w:kern w:val="0"/>
                <w:szCs w:val="22"/>
                <w:lang w:val="en-GB"/>
                <w14:ligatures w14:val="none"/>
              </w:rPr>
              <w:t>Education</w:t>
            </w:r>
          </w:p>
        </w:tc>
        <w:tc>
          <w:tcPr>
            <w:tcW w:w="1762" w:type="pct"/>
          </w:tcPr>
          <w:p w14:paraId="1B34EC76"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High illiteracy in Obane, Otrokpe, and Kasseh (&gt;70% no formal education); stronger attainment in Kajanya, Big Ada, and Torgbloku; tertiary education rare (≤10%).</w:t>
            </w:r>
          </w:p>
        </w:tc>
        <w:tc>
          <w:tcPr>
            <w:tcW w:w="2182" w:type="pct"/>
          </w:tcPr>
          <w:p w14:paraId="58603BB7"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Limited education reduces access to climate information and alternative livelihoods, constraining adaptive capacity in vulnerable communities.</w:t>
            </w:r>
          </w:p>
        </w:tc>
      </w:tr>
      <w:tr w:rsidR="0099599B" w14:paraId="074D89B1" w14:textId="77777777" w:rsidTr="0099599B">
        <w:trPr>
          <w:trHeight w:val="20"/>
        </w:trPr>
        <w:tc>
          <w:tcPr>
            <w:cnfStyle w:val="001000000000" w:firstRow="0" w:lastRow="0" w:firstColumn="1" w:lastColumn="0" w:oddVBand="0" w:evenVBand="0" w:oddHBand="0" w:evenHBand="0" w:firstRowFirstColumn="0" w:firstRowLastColumn="0" w:lastRowFirstColumn="0" w:lastRowLastColumn="0"/>
            <w:tcW w:w="1056" w:type="pct"/>
            <w:shd w:val="clear" w:color="auto" w:fill="D9E2F3"/>
          </w:tcPr>
          <w:p w14:paraId="672D7D1B" w14:textId="77777777" w:rsidR="0099599B" w:rsidRDefault="00EB7A3F">
            <w:pPr>
              <w:spacing w:after="0" w:line="360" w:lineRule="auto"/>
              <w:jc w:val="both"/>
              <w:rPr>
                <w:rFonts w:ascii="Calibri" w:eastAsia="Calibri" w:hAnsi="Calibri"/>
                <w:kern w:val="0"/>
                <w:szCs w:val="22"/>
                <w:lang w:val="en-GB"/>
                <w14:ligatures w14:val="none"/>
              </w:rPr>
            </w:pPr>
            <w:r>
              <w:rPr>
                <w:rFonts w:ascii="Calibri" w:eastAsia="Calibri" w:hAnsi="Calibri"/>
                <w:kern w:val="0"/>
                <w:szCs w:val="22"/>
                <w:lang w:val="en-GB"/>
                <w14:ligatures w14:val="none"/>
              </w:rPr>
              <w:t>Primary Occupation</w:t>
            </w:r>
          </w:p>
        </w:tc>
        <w:tc>
          <w:tcPr>
            <w:tcW w:w="1762" w:type="pct"/>
            <w:shd w:val="clear" w:color="auto" w:fill="D9E2F3"/>
          </w:tcPr>
          <w:p w14:paraId="572562E1"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Fishing (25%) dominates Azizanya, Aflive, Otrokpe; Agriculture (21%) in Elavanyo, Kajanya, Lufenya; Private sector (38%) in Kasseh, Big Ada; Salt mining (3%) in Lufenya and Aflive.</w:t>
            </w:r>
          </w:p>
        </w:tc>
        <w:tc>
          <w:tcPr>
            <w:tcW w:w="2182" w:type="pct"/>
            <w:shd w:val="clear" w:color="auto" w:fill="D9E2F3"/>
          </w:tcPr>
          <w:p w14:paraId="504F250F"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Dependence on fishing and farming increases exposure to rainfall variability, flooding, and coastal hazards; traders in hubs like Kasseh may diversify risks but remain sensitive to infrastructure disruption.</w:t>
            </w:r>
          </w:p>
        </w:tc>
      </w:tr>
      <w:tr w:rsidR="0099599B" w14:paraId="727F4028" w14:textId="77777777" w:rsidTr="0099599B">
        <w:trPr>
          <w:trHeight w:val="20"/>
        </w:trPr>
        <w:tc>
          <w:tcPr>
            <w:cnfStyle w:val="001000000000" w:firstRow="0" w:lastRow="0" w:firstColumn="1" w:lastColumn="0" w:oddVBand="0" w:evenVBand="0" w:oddHBand="0" w:evenHBand="0" w:firstRowFirstColumn="0" w:firstRowLastColumn="0" w:lastRowFirstColumn="0" w:lastRowLastColumn="0"/>
            <w:tcW w:w="1056" w:type="pct"/>
          </w:tcPr>
          <w:p w14:paraId="44A80B97" w14:textId="77777777" w:rsidR="0099599B" w:rsidRDefault="00EB7A3F">
            <w:pPr>
              <w:spacing w:after="0" w:line="360" w:lineRule="auto"/>
              <w:jc w:val="both"/>
              <w:rPr>
                <w:rFonts w:ascii="Calibri" w:eastAsia="Calibri" w:hAnsi="Calibri"/>
                <w:kern w:val="0"/>
                <w:szCs w:val="22"/>
                <w:lang w:val="en-GB"/>
                <w14:ligatures w14:val="none"/>
              </w:rPr>
            </w:pPr>
            <w:r>
              <w:rPr>
                <w:rFonts w:ascii="Calibri" w:eastAsia="Calibri" w:hAnsi="Calibri"/>
                <w:kern w:val="0"/>
                <w:szCs w:val="22"/>
                <w:lang w:val="en-GB"/>
                <w14:ligatures w14:val="none"/>
              </w:rPr>
              <w:t>Household Dependents</w:t>
            </w:r>
          </w:p>
        </w:tc>
        <w:tc>
          <w:tcPr>
            <w:tcW w:w="1762" w:type="pct"/>
          </w:tcPr>
          <w:p w14:paraId="7DD173D9"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41% have 3–5 dependents; 34% have 6–8; 18% have 9+; large families in Azizanya, Elavanyo, and Otrokpe.</w:t>
            </w:r>
          </w:p>
        </w:tc>
        <w:tc>
          <w:tcPr>
            <w:tcW w:w="2182" w:type="pct"/>
          </w:tcPr>
          <w:p w14:paraId="67563D6C"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Large households heighten sensitivity to food insecurity and resource stress during climate shocks, but can also provide labor for adaptation in agrarian and fishing economies.</w:t>
            </w:r>
          </w:p>
        </w:tc>
      </w:tr>
      <w:tr w:rsidR="0099599B" w14:paraId="15DCD25D" w14:textId="77777777" w:rsidTr="0099599B">
        <w:trPr>
          <w:trHeight w:val="20"/>
        </w:trPr>
        <w:tc>
          <w:tcPr>
            <w:cnfStyle w:val="001000000000" w:firstRow="0" w:lastRow="0" w:firstColumn="1" w:lastColumn="0" w:oddVBand="0" w:evenVBand="0" w:oddHBand="0" w:evenHBand="0" w:firstRowFirstColumn="0" w:firstRowLastColumn="0" w:lastRowFirstColumn="0" w:lastRowLastColumn="0"/>
            <w:tcW w:w="1056" w:type="pct"/>
            <w:shd w:val="clear" w:color="auto" w:fill="D9E2F3"/>
          </w:tcPr>
          <w:p w14:paraId="16CD3C44" w14:textId="77777777" w:rsidR="0099599B" w:rsidRDefault="00EB7A3F">
            <w:pPr>
              <w:spacing w:after="0" w:line="360" w:lineRule="auto"/>
              <w:jc w:val="both"/>
              <w:rPr>
                <w:rFonts w:ascii="Calibri" w:eastAsia="Calibri" w:hAnsi="Calibri"/>
                <w:kern w:val="0"/>
                <w:szCs w:val="22"/>
                <w:lang w:val="en-GB"/>
                <w14:ligatures w14:val="none"/>
              </w:rPr>
            </w:pPr>
            <w:r>
              <w:rPr>
                <w:rFonts w:ascii="Calibri" w:eastAsia="Calibri" w:hAnsi="Calibri"/>
                <w:kern w:val="0"/>
                <w:szCs w:val="22"/>
                <w:lang w:val="en-GB"/>
                <w14:ligatures w14:val="none"/>
              </w:rPr>
              <w:t>Origin &amp; Period of Stay</w:t>
            </w:r>
          </w:p>
        </w:tc>
        <w:tc>
          <w:tcPr>
            <w:tcW w:w="1762" w:type="pct"/>
            <w:shd w:val="clear" w:color="auto" w:fill="D9E2F3"/>
          </w:tcPr>
          <w:p w14:paraId="5A8DA863"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79% lived in communities over 20 years; long-term residency in Otrokpe (100%), Azizanya (97%), and Aflive (97%); more fluidity in Big Ada and Kasseh.</w:t>
            </w:r>
          </w:p>
        </w:tc>
        <w:tc>
          <w:tcPr>
            <w:tcW w:w="2182" w:type="pct"/>
            <w:shd w:val="clear" w:color="auto" w:fill="D9E2F3"/>
          </w:tcPr>
          <w:p w14:paraId="0781B3D6"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Entrenched settlement ties increase exposure to local hazards, particularly in coastal and low-lying areas, and reduce mobility as an adaptation option.</w:t>
            </w:r>
          </w:p>
        </w:tc>
      </w:tr>
      <w:tr w:rsidR="0099599B" w14:paraId="52468CAC" w14:textId="77777777" w:rsidTr="0099599B">
        <w:trPr>
          <w:trHeight w:val="20"/>
        </w:trPr>
        <w:tc>
          <w:tcPr>
            <w:cnfStyle w:val="001000000000" w:firstRow="0" w:lastRow="0" w:firstColumn="1" w:lastColumn="0" w:oddVBand="0" w:evenVBand="0" w:oddHBand="0" w:evenHBand="0" w:firstRowFirstColumn="0" w:firstRowLastColumn="0" w:lastRowFirstColumn="0" w:lastRowLastColumn="0"/>
            <w:tcW w:w="1056" w:type="pct"/>
          </w:tcPr>
          <w:p w14:paraId="537F0769" w14:textId="77777777" w:rsidR="0099599B" w:rsidRDefault="00EB7A3F">
            <w:pPr>
              <w:spacing w:after="0" w:line="360" w:lineRule="auto"/>
              <w:jc w:val="both"/>
              <w:rPr>
                <w:rFonts w:ascii="Calibri" w:eastAsia="Calibri" w:hAnsi="Calibri"/>
                <w:kern w:val="0"/>
                <w:szCs w:val="22"/>
                <w:lang w:val="en-GB"/>
                <w14:ligatures w14:val="none"/>
              </w:rPr>
            </w:pPr>
            <w:r>
              <w:rPr>
                <w:rFonts w:ascii="Calibri" w:eastAsia="Calibri" w:hAnsi="Calibri"/>
                <w:kern w:val="0"/>
                <w:szCs w:val="22"/>
                <w:lang w:val="en-GB"/>
                <w14:ligatures w14:val="none"/>
              </w:rPr>
              <w:lastRenderedPageBreak/>
              <w:t>Household Members Working Outside</w:t>
            </w:r>
          </w:p>
        </w:tc>
        <w:tc>
          <w:tcPr>
            <w:tcW w:w="1762" w:type="pct"/>
          </w:tcPr>
          <w:p w14:paraId="4B4C27E0"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 xml:space="preserve">47% of households have migrants; highest in Obane (73%), Kajanya (63%), and </w:t>
            </w:r>
            <w:r>
              <w:rPr>
                <w:rFonts w:ascii="Calibri" w:eastAsia="Calibri" w:hAnsi="Calibri"/>
                <w:kern w:val="0"/>
                <w:szCs w:val="22"/>
                <w14:ligatures w14:val="none"/>
              </w:rPr>
              <w:t>Atortokope</w:t>
            </w:r>
            <w:r>
              <w:rPr>
                <w:rFonts w:ascii="Calibri" w:eastAsia="Calibri" w:hAnsi="Calibri"/>
                <w:kern w:val="0"/>
                <w:szCs w:val="22"/>
                <w:lang w:val="en-GB"/>
                <w14:ligatures w14:val="none"/>
              </w:rPr>
              <w:t xml:space="preserve"> (59%); lowest in Otrokpe (8%) and Pediatorkope (30%).</w:t>
            </w:r>
          </w:p>
        </w:tc>
        <w:tc>
          <w:tcPr>
            <w:tcW w:w="2182" w:type="pct"/>
          </w:tcPr>
          <w:p w14:paraId="43A2A952" w14:textId="77777777" w:rsidR="0099599B" w:rsidRDefault="00EB7A3F">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kern w:val="0"/>
                <w:szCs w:val="22"/>
                <w:lang w:val="en-GB"/>
                <w14:ligatures w14:val="none"/>
              </w:rPr>
            </w:pPr>
            <w:r>
              <w:rPr>
                <w:rFonts w:ascii="Calibri" w:eastAsia="Calibri" w:hAnsi="Calibri"/>
                <w:kern w:val="0"/>
                <w:szCs w:val="22"/>
                <w:lang w:val="en-GB"/>
                <w14:ligatures w14:val="none"/>
              </w:rPr>
              <w:t>Migration and remittances provide financial buffers for inland and resource-limited communities, while fishing-dependent settlements remain highly exposed to local climate risks.</w:t>
            </w:r>
          </w:p>
        </w:tc>
      </w:tr>
    </w:tbl>
    <w:p w14:paraId="778F932C" w14:textId="77777777" w:rsidR="0099599B" w:rsidRDefault="0099599B">
      <w:pPr>
        <w:pStyle w:val="NormalWeb"/>
        <w:spacing w:line="360" w:lineRule="auto"/>
        <w:jc w:val="both"/>
        <w:rPr>
          <w:kern w:val="2"/>
          <w:lang w:eastAsia="en-US"/>
        </w:rPr>
      </w:pPr>
    </w:p>
    <w:p w14:paraId="5A0E0661" w14:textId="77777777" w:rsidR="0099599B" w:rsidRDefault="00EB7A3F">
      <w:pPr>
        <w:pStyle w:val="Heading4"/>
        <w:spacing w:line="360" w:lineRule="auto"/>
        <w:rPr>
          <w:color w:val="47D459" w:themeColor="accent3" w:themeTint="99"/>
        </w:rPr>
      </w:pPr>
      <w:r>
        <w:rPr>
          <w:color w:val="47D459" w:themeColor="accent3" w:themeTint="99"/>
        </w:rPr>
        <w:t>3.3.2.2 IPCC-LVI Results</w:t>
      </w:r>
      <w:r>
        <w:rPr>
          <w:color w:val="47D459" w:themeColor="accent3" w:themeTint="99"/>
        </w:rPr>
        <w:tab/>
      </w:r>
    </w:p>
    <w:p w14:paraId="671799C4" w14:textId="77777777" w:rsidR="0099599B" w:rsidRDefault="00EB7A3F">
      <w:pPr>
        <w:spacing w:line="360" w:lineRule="auto"/>
        <w:jc w:val="both"/>
      </w:pPr>
      <w:r>
        <w:t>This section presents the results of the IPCC-LVI for Ada East District, highlighting vulnerabilities at both the community and sectoral levels. The assessment builds on the three IPCC dimensions—exposure, sensitivity, and adaptive capacity—to generate a composite index of vulnerability across the district. The index is standardized on a scale from –1 to +1, where values closer to –1 represent higher levels of vulnerability.</w:t>
      </w:r>
    </w:p>
    <w:p w14:paraId="0F72EEF0" w14:textId="77777777" w:rsidR="0099599B" w:rsidRDefault="00EB7A3F">
      <w:pPr>
        <w:spacing w:line="360" w:lineRule="auto"/>
        <w:jc w:val="both"/>
      </w:pPr>
      <w:r>
        <w:t xml:space="preserve">In this assessment, adaptive capacity is measured using a deficit-based approach, where indicators capture the absence or inadequacy of critical resources and services. This framing emphasizes the structural gaps that weaken resilience and illustrates how communities remain constrained in their ability to cope with climate risks. </w:t>
      </w:r>
      <w:r>
        <w:rPr>
          <w:lang w:val="en-GB"/>
        </w:rPr>
        <w:t>High h</w:t>
      </w:r>
      <w:r>
        <w:t>Negative values can therefore be interpreted as clear markers of heightened vulnerability when assessed together with exposure and sensitivity scores.</w:t>
      </w:r>
    </w:p>
    <w:p w14:paraId="474534E5" w14:textId="77777777" w:rsidR="0099599B" w:rsidRDefault="0099599B">
      <w:pPr>
        <w:spacing w:line="360" w:lineRule="auto"/>
        <w:jc w:val="both"/>
      </w:pPr>
    </w:p>
    <w:p w14:paraId="450B0883" w14:textId="77777777" w:rsidR="0099599B" w:rsidRDefault="00EB7A3F">
      <w:pPr>
        <w:pStyle w:val="Heading5"/>
        <w:spacing w:line="360" w:lineRule="auto"/>
      </w:pPr>
      <w:r>
        <w:t>3.3.2.2.1 Vulnerable Sectors</w:t>
      </w:r>
    </w:p>
    <w:p w14:paraId="535262D4" w14:textId="77777777" w:rsidR="0099599B" w:rsidRDefault="00EB7A3F">
      <w:pPr>
        <w:spacing w:line="360" w:lineRule="auto"/>
        <w:jc w:val="both"/>
      </w:pPr>
      <w:r>
        <w:t xml:space="preserve">The sectoral analysis of the IPCC-LVI highlights how climate change impacts are distributed across the main economic sectors of </w:t>
      </w:r>
      <w:r>
        <w:rPr>
          <w:lang w:val="en-GB"/>
        </w:rPr>
        <w:t>Ada East district</w:t>
      </w:r>
      <w:r>
        <w:t xml:space="preserve">. </w:t>
      </w:r>
    </w:p>
    <w:tbl>
      <w:tblPr>
        <w:tblpPr w:leftFromText="180" w:rightFromText="180" w:vertAnchor="text" w:horzAnchor="page" w:tblpX="396" w:tblpY="700"/>
        <w:tblOverlap w:val="never"/>
        <w:tblW w:w="5642" w:type="pct"/>
        <w:tblLayout w:type="fixed"/>
        <w:tblLook w:val="04A0" w:firstRow="1" w:lastRow="0" w:firstColumn="1" w:lastColumn="0" w:noHBand="0" w:noVBand="1"/>
      </w:tblPr>
      <w:tblGrid>
        <w:gridCol w:w="1647"/>
        <w:gridCol w:w="1182"/>
        <w:gridCol w:w="1478"/>
        <w:gridCol w:w="1374"/>
        <w:gridCol w:w="1351"/>
        <w:gridCol w:w="1279"/>
        <w:gridCol w:w="1132"/>
        <w:gridCol w:w="1096"/>
      </w:tblGrid>
      <w:tr w:rsidR="0099599B" w14:paraId="7FBDCD94" w14:textId="77777777">
        <w:trPr>
          <w:trHeight w:val="288"/>
        </w:trPr>
        <w:tc>
          <w:tcPr>
            <w:tcW w:w="780" w:type="pct"/>
            <w:tcBorders>
              <w:top w:val="single" w:sz="8" w:space="0" w:color="4F81BD"/>
              <w:left w:val="single" w:sz="8" w:space="0" w:color="4F81BD"/>
              <w:bottom w:val="single" w:sz="8" w:space="0" w:color="4F81BD"/>
              <w:right w:val="dotted" w:sz="0" w:space="0" w:color="auto"/>
            </w:tcBorders>
            <w:shd w:val="clear" w:color="auto" w:fill="4F81BD"/>
            <w:noWrap/>
            <w:vAlign w:val="center"/>
          </w:tcPr>
          <w:p w14:paraId="1AA645AC"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Community</w:t>
            </w:r>
          </w:p>
        </w:tc>
        <w:tc>
          <w:tcPr>
            <w:tcW w:w="561"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77CB851D"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Health</w:t>
            </w:r>
          </w:p>
        </w:tc>
        <w:tc>
          <w:tcPr>
            <w:tcW w:w="700"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55BE9B20"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Infrastructure</w:t>
            </w:r>
          </w:p>
        </w:tc>
        <w:tc>
          <w:tcPr>
            <w:tcW w:w="651"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0C52028E"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Water resources</w:t>
            </w:r>
          </w:p>
        </w:tc>
        <w:tc>
          <w:tcPr>
            <w:tcW w:w="640"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4138B297"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Agriculture</w:t>
            </w:r>
          </w:p>
        </w:tc>
        <w:tc>
          <w:tcPr>
            <w:tcW w:w="607"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37281CC1"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Services sector</w:t>
            </w:r>
          </w:p>
        </w:tc>
        <w:tc>
          <w:tcPr>
            <w:tcW w:w="537"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18E3E00C"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DRR</w:t>
            </w:r>
          </w:p>
        </w:tc>
        <w:tc>
          <w:tcPr>
            <w:tcW w:w="520" w:type="pct"/>
            <w:tcBorders>
              <w:top w:val="single" w:sz="8" w:space="0" w:color="4F81BD"/>
              <w:left w:val="dotted" w:sz="0" w:space="0" w:color="auto"/>
              <w:bottom w:val="single" w:sz="8" w:space="0" w:color="4F81BD"/>
              <w:right w:val="single" w:sz="8" w:space="0" w:color="4F81BD"/>
            </w:tcBorders>
            <w:shd w:val="clear" w:color="auto" w:fill="4F81BD"/>
            <w:noWrap/>
            <w:vAlign w:val="center"/>
          </w:tcPr>
          <w:p w14:paraId="7916EE38" w14:textId="77777777" w:rsidR="0099599B" w:rsidRDefault="00EB7A3F">
            <w:pPr>
              <w:spacing w:line="360" w:lineRule="auto"/>
              <w:textAlignment w:val="center"/>
              <w:rPr>
                <w:rFonts w:ascii="Calibri" w:hAnsi="Calibri" w:cs="Calibri"/>
                <w:color w:val="FFFFFF"/>
                <w:sz w:val="22"/>
                <w:szCs w:val="22"/>
              </w:rPr>
            </w:pPr>
            <w:r>
              <w:rPr>
                <w:rFonts w:ascii="Calibri" w:eastAsia="SimSun" w:hAnsi="Calibri" w:cs="Calibri"/>
                <w:color w:val="FFFFFF"/>
                <w:kern w:val="0"/>
                <w:sz w:val="22"/>
                <w:szCs w:val="22"/>
                <w:lang w:eastAsia="zh-CN" w:bidi="ar"/>
              </w:rPr>
              <w:t>Gender</w:t>
            </w:r>
          </w:p>
        </w:tc>
      </w:tr>
      <w:tr w:rsidR="0099599B" w14:paraId="0AC69CE2"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2F84B50E" w14:textId="77777777" w:rsidR="0099599B" w:rsidRDefault="00EB7A3F">
            <w:pPr>
              <w:spacing w:after="0" w:line="360" w:lineRule="auto"/>
              <w:rPr>
                <w:rFonts w:ascii="Calibri" w:eastAsia="Times New Roman" w:hAnsi="Calibri" w:cs="Calibri"/>
                <w:color w:val="000000"/>
                <w:kern w:val="0"/>
                <w:sz w:val="22"/>
                <w:szCs w:val="22"/>
                <w14:ligatures w14:val="none"/>
              </w:rPr>
            </w:pPr>
            <w:r>
              <w:rPr>
                <w:rFonts w:ascii="Calibri" w:hAnsi="Calibri" w:cs="Calibri"/>
                <w:color w:val="000000"/>
                <w:sz w:val="22"/>
                <w:szCs w:val="22"/>
              </w:rPr>
              <w:t xml:space="preserve">Aflive </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122B188" w14:textId="77777777" w:rsidR="0099599B" w:rsidRDefault="00EB7A3F">
            <w:pPr>
              <w:spacing w:after="0" w:line="360" w:lineRule="auto"/>
              <w:jc w:val="right"/>
              <w:rPr>
                <w:rFonts w:ascii="Calibri" w:eastAsia="Times New Roman" w:hAnsi="Calibri" w:cs="Calibri"/>
                <w:color w:val="000000"/>
                <w:kern w:val="0"/>
                <w:sz w:val="22"/>
                <w:szCs w:val="22"/>
                <w14:ligatures w14:val="none"/>
              </w:rPr>
            </w:pPr>
            <w:r>
              <w:rPr>
                <w:rFonts w:ascii="Calibri" w:hAnsi="Calibri" w:cs="Calibri"/>
                <w:color w:val="000000"/>
                <w:sz w:val="22"/>
                <w:szCs w:val="22"/>
              </w:rPr>
              <w:t>-0.089</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B0160E8"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-0.118</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EEF8E73"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-0.050</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738E0D1"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-0.057</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C15825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-0.071</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035802C"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-0.119</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6F82DF8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-0.070</w:t>
            </w:r>
          </w:p>
        </w:tc>
      </w:tr>
      <w:tr w:rsidR="0099599B" w14:paraId="5659200D"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007D4560"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lastRenderedPageBreak/>
              <w:t>Azizanyo</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0DB1AFC"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-0.101</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0A72EB5"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-0.159</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8B7B00B"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-0.071</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9E96B1D"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-0.095</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ABF1E91"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-0.111</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1044ADC"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-0.041</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7CB8BDD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-0.059</w:t>
            </w:r>
          </w:p>
        </w:tc>
      </w:tr>
      <w:tr w:rsidR="0099599B" w14:paraId="3C3FF472"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342F7F4B"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Elavanyo</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D3341A8"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-0.075</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26A829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-0.097</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B212D1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-0.055</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2CC3283"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-0.083</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EBA8CEE"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-0.097</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5BD48ED"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-0.136</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69A363FE"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-0.674</w:t>
            </w:r>
          </w:p>
        </w:tc>
      </w:tr>
      <w:tr w:rsidR="0099599B" w14:paraId="64F69904"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7C9185D6"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Otrope</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5C86D6E"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-0.048</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51B1D8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-0.054</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C49AF86"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-0.027</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1DF6079"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-0.084</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184F606"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-0.061</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4DF0584"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-0.060</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5AE381C7"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-0.080</w:t>
            </w:r>
          </w:p>
        </w:tc>
      </w:tr>
      <w:tr w:rsidR="0099599B" w14:paraId="5DE6CF10"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6359139B"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Big Ada</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B520363"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-0.094</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458E440"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-0.128</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1394BA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-0.114</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E1949A6"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-0.317</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B2B2D50"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-0.102</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2761EE4"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-0.136</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688BFFF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-0.066</w:t>
            </w:r>
          </w:p>
        </w:tc>
      </w:tr>
      <w:tr w:rsidR="0099599B" w14:paraId="1D4599B8"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7AA28515"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Obane</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7D86287"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-0.171</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3489E19"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-0.240</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3E602B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-0.112</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A040EC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-0.217</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8B90899"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-0.143</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D8B908E"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-0.096</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3E354930"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-0.019</w:t>
            </w:r>
          </w:p>
        </w:tc>
      </w:tr>
      <w:tr w:rsidR="0099599B" w14:paraId="3508190F"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1226F52C"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Pediatorkope</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B985DD7"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-0.146</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F54FE8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-0.172</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AB5AA4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-0.146</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65358B0"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-0.074</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67E366D"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-0.158</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2FAA8F3"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-0.061</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55303257"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-0.074</w:t>
            </w:r>
          </w:p>
        </w:tc>
      </w:tr>
      <w:tr w:rsidR="0099599B" w14:paraId="64E9A5EF"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12B62C0B"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Atortokope</w:t>
            </w:r>
            <w:r>
              <w:rPr>
                <w:rFonts w:ascii="Calibri" w:hAnsi="Calibri" w:cs="Calibri"/>
                <w:color w:val="000000"/>
                <w:sz w:val="22"/>
                <w:szCs w:val="22"/>
              </w:rPr>
              <w:t xml:space="preserve"> </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1C4626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-0.075</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6011E4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-0.114</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3F28D0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-0.126</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B1981E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-0.140</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C99BA36"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-0.095</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089790B"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-0.090</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54F56327"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-0.024</w:t>
            </w:r>
          </w:p>
        </w:tc>
      </w:tr>
      <w:tr w:rsidR="0099599B" w14:paraId="68F14B29"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728FA8B3"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Kajanya</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C47C3EE"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-0.201</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8344054"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-0.225</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7949934"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-0.173</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AC62CB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-0.327</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FAD631D"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-0.195</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9BFF6B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-0.193</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2468F0F9"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-0.063</w:t>
            </w:r>
          </w:p>
        </w:tc>
      </w:tr>
      <w:tr w:rsidR="0099599B" w14:paraId="746933C0"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0BDD4169"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Kasseh</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22300A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-0.201</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3DC1620"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-0.188</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D49AA35"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-0.108</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E139243"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-0.433</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FDEFA77"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-0.126</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83B972D"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-0.196</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71235B0F"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-0.023</w:t>
            </w:r>
          </w:p>
        </w:tc>
      </w:tr>
      <w:tr w:rsidR="0099599B" w14:paraId="716C5F06"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02F33CC6"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Lufenya</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86F1A5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-0.175</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951A3F1"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-0.192</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C0B3175"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-0.191</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4755EB2"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-0.179</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5BEC2FC"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-0.192</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24AFBBC"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-0.193</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41A8525C"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-0.049</w:t>
            </w:r>
          </w:p>
        </w:tc>
      </w:tr>
      <w:tr w:rsidR="0099599B" w14:paraId="6F84C20F"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65864D95"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Torgbloku</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C5B3640"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-0.103</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23D2F63"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-0.122</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04F9F71"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-0.104</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9A4678E"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-0.105</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3257139"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-0.125</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E755B9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-0.121</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0747FB6A" w14:textId="77777777" w:rsidR="0099599B" w:rsidRDefault="00EB7A3F">
            <w:pPr>
              <w:spacing w:line="360" w:lineRule="auto"/>
              <w:jc w:val="right"/>
              <w:rPr>
                <w:rFonts w:ascii="Calibri" w:hAnsi="Calibri" w:cs="Calibri"/>
                <w:color w:val="000000"/>
                <w:sz w:val="22"/>
                <w:szCs w:val="22"/>
              </w:rPr>
            </w:pPr>
            <w:r>
              <w:rPr>
                <w:rFonts w:ascii="Calibri" w:hAnsi="Calibri" w:cs="Calibri"/>
                <w:color w:val="000000"/>
                <w:sz w:val="22"/>
                <w:szCs w:val="22"/>
              </w:rPr>
              <w:t>-0.027</w:t>
            </w:r>
          </w:p>
        </w:tc>
      </w:tr>
      <w:tr w:rsidR="0099599B" w14:paraId="6ABEC42A" w14:textId="77777777">
        <w:trPr>
          <w:trHeight w:val="20"/>
        </w:trPr>
        <w:tc>
          <w:tcPr>
            <w:tcW w:w="780"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5315AE43" w14:textId="77777777" w:rsidR="0099599B" w:rsidRDefault="00EB7A3F">
            <w:pPr>
              <w:spacing w:line="360" w:lineRule="auto"/>
              <w:rPr>
                <w:rFonts w:ascii="Calibri" w:hAnsi="Calibri" w:cs="Calibri"/>
                <w:color w:val="000000"/>
                <w:sz w:val="22"/>
                <w:szCs w:val="22"/>
              </w:rPr>
            </w:pPr>
            <w:r>
              <w:rPr>
                <w:rFonts w:ascii="Calibri" w:hAnsi="Calibri" w:cs="Calibri"/>
                <w:color w:val="000000"/>
                <w:sz w:val="22"/>
                <w:szCs w:val="22"/>
              </w:rPr>
              <w:t>Sector Average LVI</w:t>
            </w:r>
          </w:p>
        </w:tc>
        <w:tc>
          <w:tcPr>
            <w:tcW w:w="56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1CB2114"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-0.123</w:t>
            </w:r>
          </w:p>
        </w:tc>
        <w:tc>
          <w:tcPr>
            <w:tcW w:w="70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8C09C7C"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-0.151</w:t>
            </w:r>
          </w:p>
        </w:tc>
        <w:tc>
          <w:tcPr>
            <w:tcW w:w="651"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0401EEF"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-0.106</w:t>
            </w:r>
          </w:p>
        </w:tc>
        <w:tc>
          <w:tcPr>
            <w:tcW w:w="640"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6EF9827"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-0.176</w:t>
            </w:r>
          </w:p>
        </w:tc>
        <w:tc>
          <w:tcPr>
            <w:tcW w:w="60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0AD0E7F"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-0.123</w:t>
            </w:r>
          </w:p>
        </w:tc>
        <w:tc>
          <w:tcPr>
            <w:tcW w:w="53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A120190"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-0.120</w:t>
            </w:r>
          </w:p>
        </w:tc>
        <w:tc>
          <w:tcPr>
            <w:tcW w:w="520"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4FD2F2F0" w14:textId="77777777" w:rsidR="0099599B" w:rsidRDefault="00EB7A3F">
            <w:pPr>
              <w:spacing w:line="360" w:lineRule="auto"/>
              <w:jc w:val="right"/>
              <w:rPr>
                <w:rFonts w:ascii="Calibri" w:hAnsi="Calibri" w:cs="Calibri"/>
                <w:b/>
                <w:color w:val="000000"/>
                <w:sz w:val="22"/>
                <w:szCs w:val="22"/>
              </w:rPr>
            </w:pPr>
            <w:r>
              <w:rPr>
                <w:rFonts w:ascii="Calibri" w:hAnsi="Calibri" w:cs="Calibri"/>
                <w:b/>
                <w:color w:val="000000"/>
                <w:sz w:val="22"/>
                <w:szCs w:val="22"/>
              </w:rPr>
              <w:t>-0.102</w:t>
            </w:r>
          </w:p>
        </w:tc>
      </w:tr>
    </w:tbl>
    <w:p w14:paraId="33787D70" w14:textId="77777777" w:rsidR="0099599B" w:rsidRDefault="00EB7A3F">
      <w:pPr>
        <w:pStyle w:val="Caption"/>
        <w:spacing w:line="360" w:lineRule="auto"/>
        <w:jc w:val="both"/>
        <w:rPr>
          <w:lang w:val="en-GB"/>
        </w:rPr>
      </w:pPr>
      <w:r>
        <w:t xml:space="preserve">Table </w:t>
      </w:r>
      <w:r>
        <w:fldChar w:fldCharType="begin"/>
      </w:r>
      <w:r>
        <w:instrText xml:space="preserve"> SEQ Table \* ARABIC </w:instrText>
      </w:r>
      <w:r>
        <w:fldChar w:fldCharType="separate"/>
      </w:r>
      <w:r>
        <w:t>5</w:t>
      </w:r>
      <w:r>
        <w:fldChar w:fldCharType="end"/>
      </w:r>
      <w:bookmarkStart w:id="51" w:name="_Toc19741"/>
      <w:r>
        <w:rPr>
          <w:lang w:val="en-GB"/>
        </w:rPr>
        <w:t>: Sectoral Vulnerability of Ada East District</w:t>
      </w:r>
      <w:bookmarkEnd w:id="51"/>
    </w:p>
    <w:p w14:paraId="30710708" w14:textId="77777777" w:rsidR="0099599B" w:rsidRDefault="0099599B">
      <w:pPr>
        <w:spacing w:line="360" w:lineRule="auto"/>
        <w:jc w:val="both"/>
      </w:pPr>
    </w:p>
    <w:p w14:paraId="7B279379" w14:textId="77777777" w:rsidR="0099599B" w:rsidRDefault="00EB7A3F">
      <w:pPr>
        <w:spacing w:line="360" w:lineRule="auto"/>
        <w:jc w:val="both"/>
      </w:pPr>
      <w:r>
        <w:rPr>
          <w:b/>
          <w:bCs/>
        </w:rPr>
        <w:t>Agriculture (most vulnerable)</w:t>
      </w:r>
      <w:r>
        <w:rPr>
          <w:b/>
        </w:rPr>
        <w:br/>
      </w:r>
      <w:r>
        <w:t>Agricultural vulnerability in Ada East is driven by high exposure to erratic rainfall, prolonged dry spells, occasional tidal overtopping, and saline intrusion, which degrade soils and contaminate shallow irrigation sources. Sensitivity is elevated because production is largely rain-fed, crop diversity is limited (maize, cassava, vegetables), and pest and disease pressure increases with heat and humidity. Short planting windows, water stress, and salinity rapidly translate into yield losses. Adaptive capac</w:t>
      </w:r>
      <w:r>
        <w:t xml:space="preserve">ity is constrained by limited irrigation, weak farmer organization, restricted access to credit or insurance, and uneven extension services, which slow the adoption of drought- and salt-tolerant varieties, soil moisture conservation, and safe water management. Heavy rains disrupting feeder roads and markets, particularly along the Kasseh–Big Ada corridor, further reduce farm-gate prices while increasing input and transport costs. With limited income </w:t>
      </w:r>
      <w:r>
        <w:lastRenderedPageBreak/>
        <w:t>diversification or remittance support, even moderate seaso</w:t>
      </w:r>
      <w:r>
        <w:t>nal anomalies trigger food insecurity, distress sales of assets, and reduced investments in subsequent seasons. These interacting factors explain why agriculture ranks highest in the district’s vulnerability profile and why localized shocks propagate quickly across livelihoods.</w:t>
      </w:r>
    </w:p>
    <w:p w14:paraId="3851736E" w14:textId="77777777" w:rsidR="0099599B" w:rsidRDefault="0099599B">
      <w:pPr>
        <w:spacing w:line="360" w:lineRule="auto"/>
        <w:jc w:val="both"/>
      </w:pPr>
    </w:p>
    <w:p w14:paraId="27C62126" w14:textId="77777777" w:rsidR="0099599B" w:rsidRDefault="00EB7A3F">
      <w:pPr>
        <w:spacing w:line="360" w:lineRule="auto"/>
        <w:jc w:val="both"/>
        <w:rPr>
          <w:rFonts w:ascii="Times New Roman Bold" w:hAnsi="Times New Roman Bold" w:cs="Times New Roman Bold"/>
          <w:b/>
          <w:bCs/>
        </w:rPr>
      </w:pPr>
      <w:r>
        <w:rPr>
          <w:rFonts w:ascii="Times New Roman Bold" w:hAnsi="Times New Roman Bold" w:cs="Times New Roman Bold"/>
          <w:b/>
          <w:bCs/>
        </w:rPr>
        <w:t>Infrastructure</w:t>
      </w:r>
    </w:p>
    <w:p w14:paraId="76F26EA4" w14:textId="77777777" w:rsidR="0099599B" w:rsidRDefault="00EB7A3F">
      <w:pPr>
        <w:spacing w:line="360" w:lineRule="auto"/>
        <w:jc w:val="both"/>
      </w:pPr>
      <w:r>
        <w:t xml:space="preserve">Infrastructure vulnerability reflects assets exposed to hazards and systems that cannot absorb shocks. Exposure is high where roads, culverts, schools, clinics, and market streets are located in low-lying flood corridors, estuarine fringes, or eroding shorelines without full protection. Sensitivity is pronounced, as small drainage failures or bank erosion immediately interrupt mobility, schooling, healthcare access, and market operations; even shallow inundation damages pavements, subgrades, and equipment. </w:t>
      </w:r>
      <w:r>
        <w:t>Adaptive capacity is limited by deferred maintenance, unclear responsibilities for drain desilting, scarce emergency budgets, and weak community organization. Minor storms can therefore cause road blockages, long detours for traders and patients, and unplanned closures of public facilities.</w:t>
      </w:r>
    </w:p>
    <w:p w14:paraId="4D8B807D" w14:textId="77777777" w:rsidR="0099599B" w:rsidRDefault="0099599B">
      <w:pPr>
        <w:spacing w:line="360" w:lineRule="auto"/>
        <w:jc w:val="both"/>
      </w:pPr>
    </w:p>
    <w:p w14:paraId="7BCD1F70" w14:textId="77777777" w:rsidR="0099599B" w:rsidRDefault="00EB7A3F">
      <w:pPr>
        <w:spacing w:line="360" w:lineRule="auto"/>
        <w:jc w:val="both"/>
        <w:rPr>
          <w:rFonts w:ascii="Times New Roman Bold" w:hAnsi="Times New Roman Bold" w:cs="Times New Roman Bold"/>
          <w:b/>
          <w:bCs/>
        </w:rPr>
      </w:pPr>
      <w:r>
        <w:rPr>
          <w:rFonts w:ascii="Times New Roman Bold" w:hAnsi="Times New Roman Bold" w:cs="Times New Roman Bold"/>
          <w:b/>
          <w:bCs/>
        </w:rPr>
        <w:t>Health</w:t>
      </w:r>
    </w:p>
    <w:p w14:paraId="073BF856" w14:textId="77777777" w:rsidR="0099599B" w:rsidRDefault="00EB7A3F">
      <w:pPr>
        <w:spacing w:line="360" w:lineRule="auto"/>
        <w:jc w:val="both"/>
      </w:pPr>
      <w:r>
        <w:t>Health vulnerability is amplified by post-flood contamination, heat, and stagnant water around dense settlements and markets. Sensitivity is heightened by sanitation and solid-waste bottlenecks, intermittent safe water, and vector breeding in poorly drained areas, leading to disease spikes such as malaria after inundation. Adaptive capacity is constrained by stretched primary care services, limited surge supplies, fragile cold chains, and disrupted access due to damaged roads. Households with minimal cash r</w:t>
      </w:r>
      <w:r>
        <w:t>eserves or institutional support face delays in seeking care, prolonging illness and raising treatment costs. Environmental-health enforcement and climate-sensitive surveillance struggle to keep pace with drainage and waste challenges, meaning even short flood events produce measurable morbidity and slow recovery.</w:t>
      </w:r>
    </w:p>
    <w:p w14:paraId="22B2BD68" w14:textId="77777777" w:rsidR="0099599B" w:rsidRDefault="0099599B">
      <w:pPr>
        <w:spacing w:line="360" w:lineRule="auto"/>
        <w:jc w:val="both"/>
      </w:pPr>
    </w:p>
    <w:p w14:paraId="3E19012B" w14:textId="77777777" w:rsidR="0099599B" w:rsidRDefault="00EB7A3F">
      <w:pPr>
        <w:spacing w:line="360" w:lineRule="auto"/>
        <w:jc w:val="both"/>
      </w:pPr>
      <w:r>
        <w:rPr>
          <w:rFonts w:ascii="Times New Roman Bold" w:hAnsi="Times New Roman Bold" w:cs="Times New Roman Bold"/>
          <w:b/>
          <w:bCs/>
        </w:rPr>
        <w:t>Services Sector</w:t>
      </w:r>
    </w:p>
    <w:p w14:paraId="604EA5E9" w14:textId="77777777" w:rsidR="0099599B" w:rsidRDefault="00EB7A3F">
      <w:pPr>
        <w:spacing w:line="360" w:lineRule="auto"/>
        <w:jc w:val="both"/>
      </w:pPr>
      <w:r>
        <w:lastRenderedPageBreak/>
        <w:t>Service-sector vulnerability reflects dependence on accessible, dry public spaces and reliable infrastructure. Exposure arises from market flooding, eroded verges, and heat or damp conditions that damage perishable stock and equipment. Sensitivity is acute: brief waterlogging collapses footfall, disrupts last-mile logistics, and breaks cold chains. Adaptive capacity is limited where traders lack associations for pooled risk, have thin cash reserves, no insurance, and under-adopt business-continuity practice</w:t>
      </w:r>
      <w:r>
        <w:t>s (e.g., elevated stock or protected storage). Because many households depend on petty enterprise, even short closures erode working capital and reduce purchasing power, prolonging demand slumps after hazards recede.</w:t>
      </w:r>
    </w:p>
    <w:p w14:paraId="443FCCF0" w14:textId="77777777" w:rsidR="0099599B" w:rsidRDefault="0099599B">
      <w:pPr>
        <w:spacing w:line="360" w:lineRule="auto"/>
        <w:jc w:val="both"/>
      </w:pPr>
    </w:p>
    <w:p w14:paraId="5EA5DF3D" w14:textId="77777777" w:rsidR="0099599B" w:rsidRDefault="00EB7A3F">
      <w:pPr>
        <w:spacing w:line="360" w:lineRule="auto"/>
        <w:jc w:val="both"/>
      </w:pPr>
      <w:r>
        <w:rPr>
          <w:rFonts w:ascii="Times New Roman Bold" w:hAnsi="Times New Roman Bold" w:cs="Times New Roman Bold"/>
          <w:b/>
          <w:bCs/>
        </w:rPr>
        <w:t>Disaster Risk Reduction (DRR)</w:t>
      </w:r>
    </w:p>
    <w:p w14:paraId="1C720F03" w14:textId="77777777" w:rsidR="0099599B" w:rsidRDefault="00EB7A3F">
      <w:pPr>
        <w:spacing w:line="360" w:lineRule="auto"/>
        <w:jc w:val="both"/>
      </w:pPr>
      <w:r>
        <w:t>DRR vulnerability is primarily organizational. Exposure to tidal surges, riverine flooding, and heavy rainfall is recurrent, while sensitivity remains high where early-warning systems are uneven, evacuation routes cross flood-prone areas, and shelters lack essentials (lighting, water, sanitation, first aid). Adaptive capacity is constrained by limited community mobilization, inadequate equipment and training, sparse pre-positioned supplies, and weak coordination among local actors. Low social-group membersh</w:t>
      </w:r>
      <w:r>
        <w:t>ip reduces volunteer availability, slowing household-level protective actions such as elevating assets or pre-packing emergency kits. Debris clearance and relief targeting are delayed by logistical gaps and unclear roles, causing recurrent losses in the same hotspots despite awareness of hazards.</w:t>
      </w:r>
    </w:p>
    <w:p w14:paraId="5EB6B67D" w14:textId="77777777" w:rsidR="0099599B" w:rsidRDefault="0099599B">
      <w:pPr>
        <w:spacing w:line="360" w:lineRule="auto"/>
        <w:jc w:val="both"/>
      </w:pPr>
    </w:p>
    <w:p w14:paraId="2283AF6E" w14:textId="77777777" w:rsidR="0099599B" w:rsidRDefault="00EB7A3F">
      <w:pPr>
        <w:spacing w:line="360" w:lineRule="auto"/>
        <w:jc w:val="both"/>
      </w:pPr>
      <w:r>
        <w:rPr>
          <w:rFonts w:ascii="Times New Roman Bold" w:hAnsi="Times New Roman Bold" w:cs="Times New Roman Bold"/>
          <w:b/>
          <w:bCs/>
        </w:rPr>
        <w:t>Water Resources</w:t>
      </w:r>
    </w:p>
    <w:p w14:paraId="30EDD685" w14:textId="77777777" w:rsidR="0099599B" w:rsidRDefault="00EB7A3F">
      <w:pPr>
        <w:spacing w:line="360" w:lineRule="auto"/>
        <w:jc w:val="both"/>
      </w:pPr>
      <w:r>
        <w:t>Water vulnerability reflects both hazard exposure and service challenges. Households face dry-season scarcity, flood contamination, and saline intrusion into estuarine and coastal aquifers. Sensitivity arises when sources fail or turn brackish, forcing households to queue, purchase alternatives, or ration water, undermining hygiene, food preparation, childcare, and small-scale processing. Adaptive capacity is limited where borehole rehabilitation and chlorination are sporadic, storage and rainwater harvesti</w:t>
      </w:r>
      <w:r>
        <w:t xml:space="preserve">ng are insufficient, user-committee governance is weak, and household finances constrain maintenance. Inundation of poorly protected wells increases microbial risk, while extended dry spells heighten dependence on costly alternatives. Frequent </w:t>
      </w:r>
      <w:r>
        <w:lastRenderedPageBreak/>
        <w:t>outages and uncertain quality erode trust in supply, prompting expensive coping strategies and increasing WASH-related health risks.</w:t>
      </w:r>
    </w:p>
    <w:p w14:paraId="2F4B71B4" w14:textId="77777777" w:rsidR="0099599B" w:rsidRDefault="0099599B">
      <w:pPr>
        <w:spacing w:line="360" w:lineRule="auto"/>
        <w:jc w:val="both"/>
      </w:pPr>
    </w:p>
    <w:p w14:paraId="7C55C181" w14:textId="77777777" w:rsidR="0099599B" w:rsidRDefault="00EB7A3F">
      <w:pPr>
        <w:spacing w:line="360" w:lineRule="auto"/>
        <w:jc w:val="both"/>
      </w:pPr>
      <w:r>
        <w:rPr>
          <w:rFonts w:ascii="Times New Roman Bold" w:hAnsi="Times New Roman Bold" w:cs="Times New Roman Bold"/>
          <w:b/>
          <w:bCs/>
        </w:rPr>
        <w:t>Gender (Cross-Cutting Amplifier)</w:t>
      </w:r>
    </w:p>
    <w:p w14:paraId="00ED7E22" w14:textId="77777777" w:rsidR="0099599B" w:rsidRDefault="00EB7A3F">
      <w:pPr>
        <w:spacing w:line="360" w:lineRule="auto"/>
        <w:jc w:val="both"/>
      </w:pPr>
      <w:r>
        <w:t>Gendered vulnerability in Ada East is shaped by roles, resources, and representation. Exposure is structured by women’s central responsibilities in water collection, childcare, processing, and trade all of which are directly affected by WASH failures, market closures, and mobility constraints during floods or heatwaves. Sensitivity rises as unpaid care and provisioning expand while earnings from processing or trade contract, intensifying time poverty and limiting participation in training or producer networ</w:t>
      </w:r>
      <w:r>
        <w:t>ks. Adaptive capacity is constrained by limited access to credit and land, low group membership, and minimal formal support, reducing options for preventive investments, rapid restocking, and autonomous protective actions. These constraints amplify losses across agriculture, health, services, and water sectors, slowing household and community recovery even when sectoral services are restored.</w:t>
      </w:r>
    </w:p>
    <w:p w14:paraId="320C9307" w14:textId="77777777" w:rsidR="0099599B" w:rsidRDefault="0099599B">
      <w:pPr>
        <w:spacing w:line="360" w:lineRule="auto"/>
        <w:jc w:val="both"/>
        <w:rPr>
          <w:b/>
        </w:rPr>
      </w:pPr>
    </w:p>
    <w:p w14:paraId="2771419F" w14:textId="77777777" w:rsidR="0099599B" w:rsidRDefault="00EB7A3F">
      <w:pPr>
        <w:spacing w:line="360" w:lineRule="auto"/>
        <w:jc w:val="both"/>
        <w:rPr>
          <w:b/>
          <w:lang w:val="en-GB"/>
        </w:rPr>
      </w:pPr>
      <w:r>
        <w:rPr>
          <w:b/>
          <w:noProof/>
        </w:rPr>
        <w:lastRenderedPageBreak/>
        <w:drawing>
          <wp:inline distT="0" distB="0" distL="0" distR="0" wp14:anchorId="783145A3" wp14:editId="15496A90">
            <wp:extent cx="5942965" cy="7905750"/>
            <wp:effectExtent l="0" t="0" r="635" b="0"/>
            <wp:docPr id="49" name="Picture 49" descr="C:\Users\Abdalla\Downloads\Ada East_S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Users\Abdalla\Downloads\Ada East_Sector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954062" cy="7920512"/>
                    </a:xfrm>
                    <a:prstGeom prst="rect">
                      <a:avLst/>
                    </a:prstGeom>
                    <a:noFill/>
                    <a:ln>
                      <a:noFill/>
                    </a:ln>
                  </pic:spPr>
                </pic:pic>
              </a:graphicData>
            </a:graphic>
          </wp:inline>
        </w:drawing>
      </w:r>
    </w:p>
    <w:p w14:paraId="3EEF3A14" w14:textId="77777777" w:rsidR="0099599B" w:rsidRDefault="00EB7A3F">
      <w:pPr>
        <w:pStyle w:val="Caption"/>
        <w:spacing w:line="360" w:lineRule="auto"/>
      </w:pPr>
      <w:r>
        <w:lastRenderedPageBreak/>
        <w:t xml:space="preserve">Figure </w:t>
      </w:r>
      <w:r>
        <w:fldChar w:fldCharType="begin"/>
      </w:r>
      <w:r>
        <w:instrText xml:space="preserve"> SEQ Figure \* ARABIC </w:instrText>
      </w:r>
      <w:r>
        <w:fldChar w:fldCharType="separate"/>
      </w:r>
      <w:r>
        <w:t>14</w:t>
      </w:r>
      <w:r>
        <w:fldChar w:fldCharType="end"/>
      </w:r>
      <w:bookmarkStart w:id="52" w:name="_Toc15993"/>
      <w:r>
        <w:t xml:space="preserve">: IPCC-LVI </w:t>
      </w:r>
      <w:r>
        <w:rPr>
          <w:lang w:val="en-GB"/>
        </w:rPr>
        <w:t xml:space="preserve">heat map </w:t>
      </w:r>
      <w:r>
        <w:t>for economic sectors in Ada East District</w:t>
      </w:r>
      <w:bookmarkEnd w:id="52"/>
    </w:p>
    <w:p w14:paraId="7A93F421" w14:textId="77777777" w:rsidR="0099599B" w:rsidRDefault="0099599B">
      <w:pPr>
        <w:spacing w:line="360" w:lineRule="auto"/>
        <w:jc w:val="both"/>
        <w:rPr>
          <w:lang w:eastAsia="en-GB"/>
        </w:rPr>
      </w:pPr>
    </w:p>
    <w:p w14:paraId="19099CDD" w14:textId="77777777" w:rsidR="0099599B" w:rsidRDefault="00EB7A3F">
      <w:pPr>
        <w:pStyle w:val="Heading5"/>
        <w:spacing w:line="360" w:lineRule="auto"/>
      </w:pPr>
      <w:r>
        <w:t xml:space="preserve">3.3.2.1.2 Vulnerable locations </w:t>
      </w:r>
      <w:r>
        <w:tab/>
      </w:r>
    </w:p>
    <w:p w14:paraId="20D37BF7" w14:textId="77777777" w:rsidR="0099599B" w:rsidRDefault="00EB7A3F">
      <w:pPr>
        <w:spacing w:line="360" w:lineRule="auto"/>
        <w:jc w:val="both"/>
        <w:rPr>
          <w:lang w:eastAsia="en-GB"/>
        </w:rPr>
      </w:pPr>
      <w:r>
        <w:rPr>
          <w:lang w:eastAsia="en-GB"/>
        </w:rPr>
        <w:t>Comparing the contributions of the three vulnerability factors (Table 4), Azizanya, Aflive, and Elavanyo emerge as the most exposed to climate impacts. Residents of Azizanya and Aflive occupy low-lying coastal and estuarine zones, making them highly susceptible to recurrent tidal surges, sea-level rise, and saline intrusion. Limited sea defenses and inadequate drainage further exacerbate their flood and storm-surge exposure. Similar conditions are observed in Elavanyo and Otrokpe, where proximity to the Vol</w:t>
      </w:r>
      <w:r>
        <w:rPr>
          <w:lang w:eastAsia="en-GB"/>
        </w:rPr>
        <w:t>ta estuary and wetland systems increases geographic vulnerability to both riverine and coastal flooding.</w:t>
      </w:r>
    </w:p>
    <w:p w14:paraId="6C47769D" w14:textId="77777777" w:rsidR="0099599B" w:rsidRDefault="00EB7A3F">
      <w:pPr>
        <w:spacing w:line="360" w:lineRule="auto"/>
        <w:jc w:val="both"/>
        <w:rPr>
          <w:lang w:eastAsia="en-GB"/>
        </w:rPr>
      </w:pPr>
      <w:r>
        <w:rPr>
          <w:noProof/>
        </w:rPr>
        <w:drawing>
          <wp:inline distT="0" distB="0" distL="114300" distR="114300" wp14:anchorId="3C89E2F7" wp14:editId="10D4F09B">
            <wp:extent cx="5936615" cy="3867150"/>
            <wp:effectExtent l="0" t="0" r="6985" b="0"/>
            <wp:docPr id="17" name="Picture 17" descr="Ada East_L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da East_LVI"/>
                    <pic:cNvPicPr>
                      <a:picLocks noChangeAspect="1"/>
                    </pic:cNvPicPr>
                  </pic:nvPicPr>
                  <pic:blipFill>
                    <a:blip r:embed="rId33"/>
                    <a:stretch>
                      <a:fillRect/>
                    </a:stretch>
                  </pic:blipFill>
                  <pic:spPr>
                    <a:xfrm>
                      <a:off x="0" y="0"/>
                      <a:ext cx="5936615" cy="3867150"/>
                    </a:xfrm>
                    <a:prstGeom prst="rect">
                      <a:avLst/>
                    </a:prstGeom>
                  </pic:spPr>
                </pic:pic>
              </a:graphicData>
            </a:graphic>
          </wp:inline>
        </w:drawing>
      </w:r>
    </w:p>
    <w:p w14:paraId="0C9E549B" w14:textId="77777777" w:rsidR="0099599B" w:rsidRDefault="00EB7A3F">
      <w:pPr>
        <w:pStyle w:val="Caption"/>
        <w:spacing w:line="360" w:lineRule="auto"/>
        <w:jc w:val="both"/>
        <w:rPr>
          <w:rFonts w:ascii="Times New Roman" w:hAnsi="Times New Roman"/>
          <w:lang w:eastAsia="en-GB"/>
        </w:rPr>
      </w:pPr>
      <w:r>
        <w:t xml:space="preserve">Figure </w:t>
      </w:r>
      <w:r>
        <w:fldChar w:fldCharType="begin"/>
      </w:r>
      <w:r>
        <w:instrText xml:space="preserve"> SEQ Figure \* ARABIC </w:instrText>
      </w:r>
      <w:r>
        <w:fldChar w:fldCharType="separate"/>
      </w:r>
      <w:r>
        <w:t>15</w:t>
      </w:r>
      <w:r>
        <w:fldChar w:fldCharType="end"/>
      </w:r>
      <w:bookmarkStart w:id="53" w:name="_Toc19984"/>
      <w:r>
        <w:rPr>
          <w:lang w:eastAsia="en-GB"/>
        </w:rPr>
        <w:t>: IPCC-LVI heat map of Communities’ Vulnerability</w:t>
      </w:r>
      <w:bookmarkEnd w:id="53"/>
    </w:p>
    <w:p w14:paraId="3120839E" w14:textId="77777777" w:rsidR="0099599B" w:rsidRDefault="00EB7A3F">
      <w:pPr>
        <w:spacing w:line="360" w:lineRule="auto"/>
        <w:jc w:val="both"/>
        <w:rPr>
          <w:lang w:eastAsia="en-GB"/>
        </w:rPr>
      </w:pPr>
      <w:r>
        <w:rPr>
          <w:lang w:eastAsia="en-GB"/>
        </w:rPr>
        <w:t xml:space="preserve">The most sensitive communities include Lufenya, Kajanya, and </w:t>
      </w:r>
      <w:r>
        <w:rPr>
          <w:lang w:eastAsia="en-GB"/>
        </w:rPr>
        <w:t>Atortokope</w:t>
      </w:r>
      <w:r>
        <w:rPr>
          <w:lang w:eastAsia="en-GB"/>
        </w:rPr>
        <w:t xml:space="preserve">, which frequently experience climate-related damages such as crop losses, water scarcity, and pressures from both climate and non-climate stressors. Sensitivity in these areas is closely linked to dependence on </w:t>
      </w:r>
      <w:r>
        <w:rPr>
          <w:lang w:eastAsia="en-GB"/>
        </w:rPr>
        <w:lastRenderedPageBreak/>
        <w:t>rain-fed agriculture, poor soil quality, and limited livelihood diversification. Farmers in Kajanya and Lufenya, in particular, report that prolonged dry spells and erratic rainfall disrupt planting seasons, while limited access to irrigation exacerbates vulnerability to drought.</w:t>
      </w:r>
    </w:p>
    <w:p w14:paraId="47661EE9" w14:textId="77777777" w:rsidR="0099599B" w:rsidRDefault="0099599B">
      <w:pPr>
        <w:spacing w:line="360" w:lineRule="auto"/>
        <w:jc w:val="both"/>
        <w:rPr>
          <w:lang w:eastAsia="en-GB"/>
        </w:rPr>
      </w:pPr>
    </w:p>
    <w:p w14:paraId="33BCBAAB" w14:textId="77777777" w:rsidR="0099599B" w:rsidRDefault="00EB7A3F">
      <w:pPr>
        <w:spacing w:line="360" w:lineRule="auto"/>
        <w:jc w:val="both"/>
        <w:rPr>
          <w:lang w:eastAsia="en-GB"/>
        </w:rPr>
      </w:pPr>
      <w:r>
        <w:rPr>
          <w:lang w:eastAsia="en-GB"/>
        </w:rPr>
        <w:t xml:space="preserve">Households in flood-prone coastal and estuarine areas with inadequate drainage, degraded protective ecosystems, and fragile road networks were found to be highly exposed. Similarly, inland agricultural communities heavily reliant on climate-sensitive livelihoods are more sensitive to changes in rainfall and temperature. By contrast, communities such as Big Ada and Kasseh, which serve as commercial and service hubs, exhibit relatively higher adaptive capacity. Their proximity to markets, schools, and health </w:t>
      </w:r>
      <w:r>
        <w:rPr>
          <w:lang w:eastAsia="en-GB"/>
        </w:rPr>
        <w:t>facilities, combined with more diversified livelihood opportunities and stronger social networks, helps mitigate climate risks.</w:t>
      </w:r>
    </w:p>
    <w:p w14:paraId="6A520CC8" w14:textId="77777777" w:rsidR="0099599B" w:rsidRDefault="0099599B">
      <w:pPr>
        <w:spacing w:line="360" w:lineRule="auto"/>
        <w:jc w:val="both"/>
        <w:rPr>
          <w:lang w:eastAsia="en-GB"/>
        </w:rPr>
      </w:pPr>
    </w:p>
    <w:p w14:paraId="68C14C9D" w14:textId="77777777" w:rsidR="0099599B" w:rsidRDefault="00EB7A3F">
      <w:pPr>
        <w:spacing w:line="360" w:lineRule="auto"/>
        <w:jc w:val="both"/>
        <w:rPr>
          <w:lang w:eastAsia="en-GB"/>
        </w:rPr>
      </w:pPr>
      <w:r>
        <w:rPr>
          <w:lang w:eastAsia="en-GB"/>
        </w:rPr>
        <w:t>Regarding adaptive capacity, communities such as Obane, Pediatorkope, and Lufenya show lower capacity to cope with climate vulnerability compared to Azizanya, Otrokpe, Big Ada, and Kasseh. This is primarily due to weaker socio-demographic profiles and limited livelihood options, with households heavily dependent on rain-fed agriculture and fewer opportunities for income diversification or access to broader markets. In contrast, Kasseh and Big Ada benefit from stronger social networks and better access to se</w:t>
      </w:r>
      <w:r>
        <w:rPr>
          <w:lang w:eastAsia="en-GB"/>
        </w:rPr>
        <w:t>rvices, which enhance resilience. Overall, differences in adaptive capacity across Ada East are largely shaped by the strength of social networks and the availability of alternative livelihoods beyond farming and fishing (Table 5). Detailed results for the corresponding indicators of the IPCC-LVI are presented in Appendix 2.</w:t>
      </w:r>
    </w:p>
    <w:p w14:paraId="5AA51BD1" w14:textId="77777777" w:rsidR="0099599B" w:rsidRDefault="0099599B">
      <w:pPr>
        <w:spacing w:line="360" w:lineRule="auto"/>
        <w:jc w:val="both"/>
        <w:rPr>
          <w:lang w:eastAsia="en-GB"/>
        </w:rPr>
      </w:pPr>
    </w:p>
    <w:p w14:paraId="0B2919A4" w14:textId="77777777" w:rsidR="0099599B" w:rsidRDefault="00EB7A3F">
      <w:pPr>
        <w:pStyle w:val="Caption"/>
        <w:spacing w:line="360" w:lineRule="auto"/>
      </w:pPr>
      <w:r>
        <w:t xml:space="preserve">Table </w:t>
      </w:r>
      <w:r>
        <w:fldChar w:fldCharType="begin"/>
      </w:r>
      <w:r>
        <w:instrText xml:space="preserve"> SEQ Table \* ARABIC </w:instrText>
      </w:r>
      <w:r>
        <w:fldChar w:fldCharType="separate"/>
      </w:r>
      <w:r>
        <w:t>6</w:t>
      </w:r>
      <w:r>
        <w:fldChar w:fldCharType="end"/>
      </w:r>
      <w:bookmarkStart w:id="54" w:name="_Toc27357"/>
      <w:r>
        <w:t>: IPCC‑LVI results for Ada East District</w:t>
      </w:r>
      <w:bookmarkEnd w:id="54"/>
    </w:p>
    <w:tbl>
      <w:tblPr>
        <w:tblW w:w="4997" w:type="pct"/>
        <w:tblLook w:val="04A0" w:firstRow="1" w:lastRow="0" w:firstColumn="1" w:lastColumn="0" w:noHBand="0" w:noVBand="1"/>
      </w:tblPr>
      <w:tblGrid>
        <w:gridCol w:w="1754"/>
        <w:gridCol w:w="1470"/>
        <w:gridCol w:w="1417"/>
        <w:gridCol w:w="2587"/>
        <w:gridCol w:w="2106"/>
      </w:tblGrid>
      <w:tr w:rsidR="0099599B" w14:paraId="1BCC052D"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4F81BD"/>
            <w:noWrap/>
            <w:vAlign w:val="center"/>
          </w:tcPr>
          <w:p w14:paraId="42C94D98" w14:textId="77777777" w:rsidR="0099599B" w:rsidRDefault="00EB7A3F">
            <w:pPr>
              <w:spacing w:line="360" w:lineRule="auto"/>
              <w:rPr>
                <w:rFonts w:ascii="Calibri" w:hAnsi="Calibri" w:cs="Calibri"/>
                <w:b/>
                <w:bCs/>
                <w:color w:val="FFFFFF"/>
                <w:sz w:val="22"/>
                <w:szCs w:val="22"/>
              </w:rPr>
            </w:pPr>
            <w:r>
              <w:rPr>
                <w:rFonts w:ascii="Calibri" w:hAnsi="Calibri" w:cs="Calibri"/>
                <w:b/>
                <w:bCs/>
                <w:color w:val="FFFFFF"/>
                <w:sz w:val="22"/>
                <w:szCs w:val="22"/>
              </w:rPr>
              <w:t>Community</w:t>
            </w:r>
          </w:p>
        </w:tc>
        <w:tc>
          <w:tcPr>
            <w:tcW w:w="787"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3FB28FB8" w14:textId="77777777" w:rsidR="0099599B" w:rsidRDefault="00EB7A3F">
            <w:pPr>
              <w:spacing w:line="360" w:lineRule="auto"/>
              <w:textAlignment w:val="center"/>
              <w:rPr>
                <w:rFonts w:ascii="Calibri" w:hAnsi="Calibri" w:cs="Calibri"/>
                <w:b/>
                <w:bCs/>
                <w:color w:val="FFFFFF"/>
                <w:sz w:val="22"/>
                <w:szCs w:val="22"/>
              </w:rPr>
            </w:pPr>
            <w:r>
              <w:rPr>
                <w:rFonts w:ascii="Calibri" w:eastAsia="SimSun" w:hAnsi="Calibri" w:cs="Calibri"/>
                <w:b/>
                <w:bCs/>
                <w:color w:val="FFFFFF"/>
                <w:kern w:val="0"/>
                <w:sz w:val="22"/>
                <w:szCs w:val="22"/>
                <w:lang w:eastAsia="zh-CN" w:bidi="ar"/>
              </w:rPr>
              <w:t>EXPOSURE</w:t>
            </w:r>
          </w:p>
        </w:tc>
        <w:tc>
          <w:tcPr>
            <w:tcW w:w="759"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404054F8" w14:textId="77777777" w:rsidR="0099599B" w:rsidRDefault="00EB7A3F">
            <w:pPr>
              <w:spacing w:line="360" w:lineRule="auto"/>
              <w:textAlignment w:val="center"/>
              <w:rPr>
                <w:rFonts w:ascii="Calibri" w:hAnsi="Calibri" w:cs="Calibri"/>
                <w:b/>
                <w:bCs/>
                <w:color w:val="FFFFFF"/>
                <w:sz w:val="22"/>
                <w:szCs w:val="22"/>
              </w:rPr>
            </w:pPr>
            <w:r>
              <w:rPr>
                <w:rFonts w:ascii="Calibri" w:eastAsia="SimSun" w:hAnsi="Calibri" w:cs="Calibri"/>
                <w:b/>
                <w:bCs/>
                <w:color w:val="FFFFFF"/>
                <w:kern w:val="0"/>
                <w:sz w:val="22"/>
                <w:szCs w:val="22"/>
                <w:lang w:eastAsia="zh-CN" w:bidi="ar"/>
              </w:rPr>
              <w:t>SENSIVITY</w:t>
            </w:r>
          </w:p>
        </w:tc>
        <w:tc>
          <w:tcPr>
            <w:tcW w:w="1385" w:type="pct"/>
            <w:tcBorders>
              <w:top w:val="single" w:sz="8" w:space="0" w:color="4F81BD"/>
              <w:left w:val="dotted" w:sz="0" w:space="0" w:color="auto"/>
              <w:bottom w:val="single" w:sz="8" w:space="0" w:color="4F81BD"/>
              <w:right w:val="dotted" w:sz="0" w:space="0" w:color="auto"/>
            </w:tcBorders>
            <w:shd w:val="clear" w:color="auto" w:fill="4F81BD"/>
            <w:noWrap/>
            <w:vAlign w:val="center"/>
          </w:tcPr>
          <w:p w14:paraId="7F0880BC" w14:textId="77777777" w:rsidR="0099599B" w:rsidRDefault="00EB7A3F">
            <w:pPr>
              <w:spacing w:line="360" w:lineRule="auto"/>
              <w:textAlignment w:val="center"/>
              <w:rPr>
                <w:rFonts w:ascii="Calibri" w:hAnsi="Calibri" w:cs="Calibri"/>
                <w:b/>
                <w:bCs/>
                <w:color w:val="FFFFFF"/>
                <w:sz w:val="22"/>
                <w:szCs w:val="22"/>
              </w:rPr>
            </w:pPr>
            <w:r>
              <w:rPr>
                <w:rFonts w:ascii="Calibri" w:eastAsia="SimSun" w:hAnsi="Calibri" w:cs="Calibri"/>
                <w:b/>
                <w:bCs/>
                <w:color w:val="FFFFFF"/>
                <w:kern w:val="0"/>
                <w:sz w:val="22"/>
                <w:szCs w:val="22"/>
                <w:lang w:eastAsia="zh-CN" w:bidi="ar"/>
              </w:rPr>
              <w:t>ADAPTIVE CAPACITY</w:t>
            </w:r>
          </w:p>
        </w:tc>
        <w:tc>
          <w:tcPr>
            <w:tcW w:w="1128" w:type="pct"/>
            <w:tcBorders>
              <w:top w:val="single" w:sz="8" w:space="0" w:color="4F81BD"/>
              <w:left w:val="dotted" w:sz="0" w:space="0" w:color="auto"/>
              <w:bottom w:val="single" w:sz="8" w:space="0" w:color="4F81BD"/>
              <w:right w:val="single" w:sz="8" w:space="0" w:color="4F81BD"/>
            </w:tcBorders>
            <w:shd w:val="clear" w:color="auto" w:fill="4F81BD"/>
            <w:noWrap/>
            <w:vAlign w:val="center"/>
          </w:tcPr>
          <w:p w14:paraId="043FB9EA" w14:textId="77777777" w:rsidR="0099599B" w:rsidRDefault="00EB7A3F">
            <w:pPr>
              <w:spacing w:line="360" w:lineRule="auto"/>
              <w:textAlignment w:val="center"/>
              <w:rPr>
                <w:rFonts w:ascii="Calibri" w:hAnsi="Calibri" w:cs="Calibri"/>
                <w:b/>
                <w:bCs/>
                <w:color w:val="FFFFFF"/>
                <w:sz w:val="22"/>
                <w:szCs w:val="22"/>
              </w:rPr>
            </w:pPr>
            <w:r>
              <w:rPr>
                <w:rFonts w:ascii="Calibri" w:eastAsia="SimSun" w:hAnsi="Calibri" w:cs="Calibri"/>
                <w:b/>
                <w:bCs/>
                <w:color w:val="FFFFFF"/>
                <w:kern w:val="0"/>
                <w:sz w:val="22"/>
                <w:szCs w:val="22"/>
                <w:lang w:eastAsia="zh-CN" w:bidi="ar"/>
              </w:rPr>
              <w:t>IPCC-LVI</w:t>
            </w:r>
          </w:p>
        </w:tc>
      </w:tr>
      <w:tr w:rsidR="0099599B" w14:paraId="1243061A"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7CEF478A"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Aflive </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298822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0.471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FC6DAB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0.464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AC1FE5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0.635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7F484319"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-0.076 </w:t>
            </w:r>
          </w:p>
        </w:tc>
      </w:tr>
      <w:tr w:rsidR="0099599B" w14:paraId="254CA6EC"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304DDC34"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Azizanyo</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60578A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0.584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AF3711F"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0.387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84777CC"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0.747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28CB962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-0.063 </w:t>
            </w:r>
          </w:p>
        </w:tc>
      </w:tr>
      <w:tr w:rsidR="0099599B" w14:paraId="41F28D91"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08AC6129"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Elavanyo</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81828ED"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0.435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1E6ED6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0.360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32F6CE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0.750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4D72A361"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-0.113 </w:t>
            </w:r>
          </w:p>
        </w:tc>
      </w:tr>
      <w:tr w:rsidR="0099599B" w14:paraId="3E3136AF"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112DCF8B"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lastRenderedPageBreak/>
              <w:t>Otrope</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57FAF23"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0.485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E6E8890"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0.411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179D4A7"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0.738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19DFEA6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-0.104 </w:t>
            </w:r>
          </w:p>
        </w:tc>
      </w:tr>
      <w:tr w:rsidR="0099599B" w14:paraId="35BDB044"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010B9E50"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Big Ada</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5C50229"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0.306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1F0A0F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0.288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75CAA6D"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0.683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6903115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-0.108 </w:t>
            </w:r>
          </w:p>
        </w:tc>
      </w:tr>
      <w:tr w:rsidR="0099599B" w14:paraId="5E0E9698"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4920033C"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Obane</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C28E92A"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0.386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885DE53"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0.326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2AF0FE9"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0.617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51023DED"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-0.075 </w:t>
            </w:r>
          </w:p>
        </w:tc>
      </w:tr>
      <w:tr w:rsidR="0099599B" w14:paraId="061AB660"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70B43BD4"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Pediatorkope</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D682276"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0.427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EFED8D1"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0.439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1D09C80"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0.512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3B10946C"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-0.037 </w:t>
            </w:r>
          </w:p>
        </w:tc>
      </w:tr>
      <w:tr w:rsidR="0099599B" w14:paraId="5F024CBA"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49D341C3"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Atortokope</w:t>
            </w:r>
            <w:r>
              <w:rPr>
                <w:rFonts w:ascii="Calibri" w:eastAsia="SimSun" w:hAnsi="Calibri" w:cs="Calibri"/>
                <w:color w:val="000000"/>
                <w:kern w:val="0"/>
                <w:sz w:val="22"/>
                <w:szCs w:val="22"/>
                <w:lang w:eastAsia="zh-CN" w:bidi="ar"/>
              </w:rPr>
              <w:t xml:space="preserve"> </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88EBB38"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0.348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6B123F8"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0.344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4BDA5A6"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0.605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2A88D93A"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-0.088 </w:t>
            </w:r>
          </w:p>
        </w:tc>
      </w:tr>
      <w:tr w:rsidR="0099599B" w14:paraId="4F94DEA9"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7646606C"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Kajanya</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04EDFBCF"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0.280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8E1EF52"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0.518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4EA6DC54"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0.610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725F5D8D"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-0.171 </w:t>
            </w:r>
          </w:p>
        </w:tc>
      </w:tr>
      <w:tr w:rsidR="0099599B" w14:paraId="2B8A2A74"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1D2EDDBA"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Kasseh</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9FCE45D"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0.317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65D19BAD"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0.349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54E1829"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0.779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1001AE58"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-0.161 </w:t>
            </w:r>
          </w:p>
        </w:tc>
      </w:tr>
      <w:tr w:rsidR="0099599B" w14:paraId="42E2F155"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6E8B7EBA"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Lufenya</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7889968F"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0.289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5161E8D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0.568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342EEB9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0.559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07116F2E"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-0.153 </w:t>
            </w:r>
          </w:p>
        </w:tc>
      </w:tr>
      <w:tr w:rsidR="0099599B" w14:paraId="6FA88C99" w14:textId="77777777">
        <w:trPr>
          <w:trHeight w:val="495"/>
        </w:trPr>
        <w:tc>
          <w:tcPr>
            <w:tcW w:w="939" w:type="pct"/>
            <w:tcBorders>
              <w:top w:val="single" w:sz="8" w:space="0" w:color="4F81BD"/>
              <w:left w:val="single" w:sz="8" w:space="0" w:color="4F81BD"/>
              <w:bottom w:val="single" w:sz="8" w:space="0" w:color="4F81BD"/>
              <w:right w:val="dotted" w:sz="0" w:space="0" w:color="auto"/>
            </w:tcBorders>
            <w:shd w:val="clear" w:color="auto" w:fill="FFFFFF"/>
            <w:noWrap/>
            <w:vAlign w:val="center"/>
          </w:tcPr>
          <w:p w14:paraId="17511782" w14:textId="77777777" w:rsidR="0099599B" w:rsidRDefault="00EB7A3F">
            <w:pPr>
              <w:spacing w:line="360" w:lineRule="auto"/>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Torgbloku</w:t>
            </w:r>
          </w:p>
        </w:tc>
        <w:tc>
          <w:tcPr>
            <w:tcW w:w="787"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CFF9099"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0.405 </w:t>
            </w:r>
          </w:p>
        </w:tc>
        <w:tc>
          <w:tcPr>
            <w:tcW w:w="759"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135B042B"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0.422 </w:t>
            </w:r>
          </w:p>
        </w:tc>
        <w:tc>
          <w:tcPr>
            <w:tcW w:w="1385" w:type="pct"/>
            <w:tcBorders>
              <w:top w:val="single" w:sz="8" w:space="0" w:color="4F81BD"/>
              <w:left w:val="dotted" w:sz="0" w:space="0" w:color="auto"/>
              <w:bottom w:val="single" w:sz="8" w:space="0" w:color="4F81BD"/>
              <w:right w:val="dotted" w:sz="0" w:space="0" w:color="auto"/>
            </w:tcBorders>
            <w:shd w:val="clear" w:color="auto" w:fill="FFFFFF"/>
            <w:noWrap/>
            <w:vAlign w:val="center"/>
          </w:tcPr>
          <w:p w14:paraId="25BB9D25"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0.560 </w:t>
            </w:r>
          </w:p>
        </w:tc>
        <w:tc>
          <w:tcPr>
            <w:tcW w:w="1128" w:type="pct"/>
            <w:tcBorders>
              <w:top w:val="single" w:sz="8" w:space="0" w:color="4F81BD"/>
              <w:left w:val="dotted" w:sz="0" w:space="0" w:color="auto"/>
              <w:bottom w:val="single" w:sz="8" w:space="0" w:color="4F81BD"/>
              <w:right w:val="single" w:sz="8" w:space="0" w:color="4F81BD"/>
            </w:tcBorders>
            <w:shd w:val="clear" w:color="auto" w:fill="FFFFFF"/>
            <w:noWrap/>
            <w:vAlign w:val="center"/>
          </w:tcPr>
          <w:p w14:paraId="29885EC6" w14:textId="77777777" w:rsidR="0099599B" w:rsidRDefault="00EB7A3F">
            <w:pPr>
              <w:spacing w:line="360" w:lineRule="auto"/>
              <w:jc w:val="right"/>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-0.065 </w:t>
            </w:r>
          </w:p>
        </w:tc>
      </w:tr>
    </w:tbl>
    <w:p w14:paraId="3026AC0A" w14:textId="77777777" w:rsidR="0099599B" w:rsidRDefault="0099599B">
      <w:pPr>
        <w:spacing w:line="360" w:lineRule="auto"/>
      </w:pPr>
    </w:p>
    <w:p w14:paraId="56A2C92F" w14:textId="77777777" w:rsidR="0099599B" w:rsidRDefault="00EB7A3F">
      <w:pPr>
        <w:spacing w:line="360" w:lineRule="auto"/>
      </w:pPr>
      <w:r>
        <w:t xml:space="preserve">Overall, all the zonal councils in the </w:t>
      </w:r>
      <w:r>
        <w:t>district</w:t>
      </w:r>
      <w:r>
        <w:t xml:space="preserve"> showed relatively high vulnerability to climate change.  The main observations about vulnerable locations are summarized below:</w:t>
      </w:r>
    </w:p>
    <w:p w14:paraId="3E0CE9D7" w14:textId="77777777" w:rsidR="0099599B" w:rsidRDefault="00EB7A3F">
      <w:pPr>
        <w:spacing w:line="360" w:lineRule="auto"/>
        <w:jc w:val="both"/>
      </w:pPr>
      <w:r>
        <w:rPr>
          <w:rFonts w:ascii="Times New Roman Bold" w:hAnsi="Times New Roman Bold" w:cs="Times New Roman Bold"/>
          <w:b/>
          <w:bCs/>
        </w:rPr>
        <w:t>Kajanya:</w:t>
      </w:r>
      <w:r>
        <w:t xml:space="preserve"> Water scarcity is the most pressing issue. Households spend significant amounts on purchased water, and the absence of reliable supply systems makes daily life challenging. This dependence undermines livelihoods and creates tensions during prolonged dry periods.</w:t>
      </w:r>
    </w:p>
    <w:p w14:paraId="1073A7D0" w14:textId="77777777" w:rsidR="0099599B" w:rsidRDefault="00EB7A3F">
      <w:pPr>
        <w:spacing w:line="360" w:lineRule="auto"/>
        <w:jc w:val="both"/>
      </w:pPr>
      <w:r>
        <w:rPr>
          <w:rFonts w:ascii="Times New Roman Bold" w:hAnsi="Times New Roman Bold" w:cs="Times New Roman Bold"/>
          <w:b/>
          <w:bCs/>
        </w:rPr>
        <w:t>Atortokope</w:t>
      </w:r>
      <w:r>
        <w:rPr>
          <w:rFonts w:ascii="Times New Roman Bold" w:hAnsi="Times New Roman Bold" w:cs="Times New Roman Bold"/>
          <w:b/>
          <w:bCs/>
        </w:rPr>
        <w:t>:</w:t>
      </w:r>
      <w:r>
        <w:t xml:space="preserve"> Water insecurity is severe, with residents facing both high costs and unreliable quality. Inadequate sanitation further compounds health risks, leaving the community highly vulnerable to waterborne diseases.</w:t>
      </w:r>
    </w:p>
    <w:p w14:paraId="3FF98DB6" w14:textId="77777777" w:rsidR="0099599B" w:rsidRDefault="00EB7A3F">
      <w:pPr>
        <w:spacing w:line="360" w:lineRule="auto"/>
        <w:jc w:val="both"/>
      </w:pPr>
      <w:r>
        <w:rPr>
          <w:rFonts w:ascii="Times New Roman Bold" w:hAnsi="Times New Roman Bold" w:cs="Times New Roman Bold"/>
          <w:b/>
          <w:bCs/>
        </w:rPr>
        <w:t>Lufenya:</w:t>
      </w:r>
      <w:r>
        <w:t xml:space="preserve"> Similar conditions prevail, with families struggling with high water expenses and insufficient public facilities, increasing susceptibility to disease outbreaks and limiting resilience.</w:t>
      </w:r>
    </w:p>
    <w:p w14:paraId="63BE4CF7" w14:textId="77777777" w:rsidR="0099599B" w:rsidRDefault="00EB7A3F">
      <w:pPr>
        <w:spacing w:line="360" w:lineRule="auto"/>
        <w:jc w:val="both"/>
      </w:pPr>
      <w:r>
        <w:rPr>
          <w:rFonts w:ascii="Times New Roman Bold" w:hAnsi="Times New Roman Bold" w:cs="Times New Roman Bold"/>
          <w:b/>
          <w:bCs/>
        </w:rPr>
        <w:t xml:space="preserve">Kasseh: </w:t>
      </w:r>
      <w:r>
        <w:t>As the district’s main market hub, commercial activity masks underlying vulnerabilities. Poor drainage and recurring erosion damage property during heavy rains, while limited waste management and inadequate sanitation pose ongoing health risks. Seasonal flooding and unreliable clean water access continue to affect residents despite the town’s relatively better connectivity to services.</w:t>
      </w:r>
    </w:p>
    <w:p w14:paraId="169B955F" w14:textId="77777777" w:rsidR="0099599B" w:rsidRDefault="00EB7A3F">
      <w:pPr>
        <w:spacing w:line="360" w:lineRule="auto"/>
        <w:jc w:val="both"/>
      </w:pPr>
      <w:r>
        <w:rPr>
          <w:rFonts w:ascii="Times New Roman Bold" w:hAnsi="Times New Roman Bold" w:cs="Times New Roman Bold"/>
          <w:b/>
          <w:bCs/>
        </w:rPr>
        <w:lastRenderedPageBreak/>
        <w:t>Big Ada:</w:t>
      </w:r>
      <w:r>
        <w:t xml:space="preserve"> This commercial town faces comparable challenges. Residents report difficulty accessing emergency health care, while water shortages remain persistent, highlighting vulnerabilities despite economic vibrancy.</w:t>
      </w:r>
    </w:p>
    <w:p w14:paraId="69BE17BB" w14:textId="77777777" w:rsidR="0099599B" w:rsidRDefault="00EB7A3F">
      <w:pPr>
        <w:spacing w:line="360" w:lineRule="auto"/>
        <w:jc w:val="both"/>
      </w:pPr>
      <w:r>
        <w:rPr>
          <w:rFonts w:ascii="Times New Roman Bold" w:hAnsi="Times New Roman Bold" w:cs="Times New Roman Bold"/>
          <w:b/>
          <w:bCs/>
        </w:rPr>
        <w:t xml:space="preserve">Atortorkope and Obane: </w:t>
      </w:r>
      <w:r>
        <w:t>Among the most deprived communities, both suffer from poor road networks, lack of public toilets, and inadequate health facilities, leaving residents exposed during emergencies. Low-lying terrain increases flood risk, and reliance on subsistence farming ties vulnerability directly to erratic rainfall and soil degradation. The lack of infrastructure limits both coping capacity and recovery.</w:t>
      </w:r>
    </w:p>
    <w:p w14:paraId="3CA13FF1" w14:textId="77777777" w:rsidR="0099599B" w:rsidRDefault="00EB7A3F">
      <w:pPr>
        <w:spacing w:line="360" w:lineRule="auto"/>
        <w:jc w:val="both"/>
      </w:pPr>
      <w:r>
        <w:rPr>
          <w:rFonts w:ascii="Times New Roman Bold" w:hAnsi="Times New Roman Bold" w:cs="Times New Roman Bold"/>
          <w:b/>
          <w:bCs/>
        </w:rPr>
        <w:t>Azizanya and Elavanyo:</w:t>
      </w:r>
      <w:r>
        <w:t xml:space="preserve"> Coastal settlements are directly exposed to tidal surges and shoreline erosion. In Elavanyo, fishing, okada riding, and small-scale farming provide income, but basic amenities such as community toilets, potable water, markets, and health facilities are lacking. In Azizanya, the absence of proper sanitation leads many households to use the sea as an open toilet, increasing the risk of waterborne diseases, particularly during flooding.</w:t>
      </w:r>
    </w:p>
    <w:p w14:paraId="111EE6AE" w14:textId="77777777" w:rsidR="0099599B" w:rsidRDefault="00EB7A3F">
      <w:pPr>
        <w:spacing w:line="360" w:lineRule="auto"/>
        <w:jc w:val="both"/>
      </w:pPr>
      <w:r>
        <w:rPr>
          <w:rFonts w:ascii="Times New Roman Bold" w:hAnsi="Times New Roman Bold" w:cs="Times New Roman Bold"/>
          <w:b/>
          <w:bCs/>
        </w:rPr>
        <w:t>Pediatorkope:</w:t>
      </w:r>
      <w:r>
        <w:t xml:space="preserve"> This small island community faces compounded vulnerabilities due to limited infrastructure and services, isolating residents from markets, health care, and education. Fishing and basket weaving are the main livelihoods, but exposure to flooding and isolation during high tides heightens insecurity and dependence on external support.</w:t>
      </w:r>
    </w:p>
    <w:p w14:paraId="69846ACA" w14:textId="77777777" w:rsidR="0099599B" w:rsidRDefault="0099599B">
      <w:pPr>
        <w:spacing w:line="360" w:lineRule="auto"/>
      </w:pPr>
    </w:p>
    <w:p w14:paraId="1801AF76" w14:textId="77777777" w:rsidR="0099599B" w:rsidRDefault="00EB7A3F">
      <w:pPr>
        <w:pStyle w:val="Heading4"/>
        <w:spacing w:line="360" w:lineRule="auto"/>
        <w:rPr>
          <w:color w:val="47D459" w:themeColor="accent3" w:themeTint="99"/>
        </w:rPr>
      </w:pPr>
      <w:r>
        <w:rPr>
          <w:color w:val="47D459" w:themeColor="accent3" w:themeTint="99"/>
        </w:rPr>
        <w:t>3.3.2.3 Climate Exposure</w:t>
      </w:r>
      <w:r>
        <w:rPr>
          <w:color w:val="47D459" w:themeColor="accent3" w:themeTint="99"/>
        </w:rPr>
        <w:tab/>
        <w:t xml:space="preserve"> </w:t>
      </w:r>
    </w:p>
    <w:p w14:paraId="13B500CF" w14:textId="77777777" w:rsidR="0099599B" w:rsidRDefault="00EB7A3F">
      <w:pPr>
        <w:spacing w:line="360" w:lineRule="auto"/>
        <w:jc w:val="both"/>
        <w:rPr>
          <w:lang w:eastAsia="en-GB"/>
        </w:rPr>
      </w:pPr>
      <w:r>
        <w:rPr>
          <w:lang w:eastAsia="en-GB"/>
        </w:rPr>
        <w:t>Exposure to climate hazards in Ada East closely reflects the district’s geography along the Gulf of Guinea and the Volta River estuary. Coastal and estuarine settlements record the highest exposure scores. Azizanya (0.584) and Otrokpe (0.485), both situated at the estuary’s edge, experience recurrent tidal surges, saline intrusion, and estuarine flooding that regularly displace households and damage property. Aflive (0.471), a shoreline settlement, and Elavanyo (0.435) also fall within the high-exposure ran</w:t>
      </w:r>
      <w:r>
        <w:rPr>
          <w:lang w:eastAsia="en-GB"/>
        </w:rPr>
        <w:t>ge, consistent with their proximity to flood-prone coastal and lagoon systems.</w:t>
      </w:r>
    </w:p>
    <w:p w14:paraId="21ECCEDB" w14:textId="77777777" w:rsidR="0099599B" w:rsidRDefault="00EB7A3F">
      <w:pPr>
        <w:spacing w:line="360" w:lineRule="auto"/>
        <w:jc w:val="both"/>
        <w:rPr>
          <w:lang w:eastAsia="en-GB"/>
        </w:rPr>
      </w:pPr>
      <w:r>
        <w:rPr>
          <w:lang w:eastAsia="en-GB"/>
        </w:rPr>
        <w:t xml:space="preserve">In contrast, inland settlements such as Big Ada (0.306), Kajanya (0.280), and Lufenya (0.289) show lower exposure, being farther removed from direct tidal and estuarine influences. Kasseh </w:t>
      </w:r>
      <w:r>
        <w:rPr>
          <w:lang w:eastAsia="en-GB"/>
        </w:rPr>
        <w:lastRenderedPageBreak/>
        <w:t>(0.317), the district’s main commercial hub, also records relatively low exposure. Nevertheless, these inland and market-oriented communities remain vulnerable to seasonal flooding from poor drainage and to water shortages during prolonged dry spells.</w:t>
      </w:r>
    </w:p>
    <w:p w14:paraId="14C8703E" w14:textId="77777777" w:rsidR="0099599B" w:rsidRDefault="00EB7A3F">
      <w:pPr>
        <w:spacing w:line="360" w:lineRule="auto"/>
        <w:jc w:val="both"/>
        <w:rPr>
          <w:lang w:eastAsia="en-GB"/>
        </w:rPr>
      </w:pPr>
      <w:r>
        <w:rPr>
          <w:lang w:eastAsia="en-GB"/>
        </w:rPr>
        <w:t>The spatial pattern indicates that exposure is highest in coastal and estuarine communities, moderate in river-fringe settlements, and lowest in inland or market towns. Field observations support these findings, with enumerators reporting severe tidal flooding and shoreline erosion in Azizanya and Elavanyo, while inland communities such as Kajanya and Lufenya face water scarcity.</w:t>
      </w:r>
    </w:p>
    <w:p w14:paraId="6886B557" w14:textId="77777777" w:rsidR="0099599B" w:rsidRDefault="00EB7A3F">
      <w:pPr>
        <w:spacing w:line="360" w:lineRule="auto"/>
        <w:jc w:val="both"/>
        <w:rPr>
          <w:lang w:eastAsia="en-GB"/>
        </w:rPr>
      </w:pPr>
      <w:r>
        <w:rPr>
          <w:lang w:eastAsia="en-GB"/>
        </w:rPr>
        <w:t>The geographic concentration of exposure highlights that coastal and estuarine communities are particularly vulnerable to climate hazards, necessitating targeted interventions such as shoreline protection, flood defenses, and improved drainage. Inland and market towns, while less exposed to direct tidal impacts, require measures to address seasonal flooding and water scarcity to protect livelihoods and maintain service continuity. Spatially differentiated adaptation strategies are therefore critical to enha</w:t>
      </w:r>
      <w:r>
        <w:rPr>
          <w:lang w:eastAsia="en-GB"/>
        </w:rPr>
        <w:t>nce resilience across the district.</w:t>
      </w:r>
    </w:p>
    <w:p w14:paraId="12E7BB00" w14:textId="77777777" w:rsidR="0099599B" w:rsidRDefault="00EB7A3F">
      <w:pPr>
        <w:spacing w:line="360" w:lineRule="auto"/>
      </w:pPr>
      <w:r>
        <w:rPr>
          <w:noProof/>
        </w:rPr>
        <w:drawing>
          <wp:inline distT="0" distB="0" distL="114300" distR="114300" wp14:anchorId="541F19BD" wp14:editId="482B40AD">
            <wp:extent cx="5936615" cy="4197350"/>
            <wp:effectExtent l="0" t="0" r="6985" b="8890"/>
            <wp:docPr id="19" name="Picture 19" descr="Ada East_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da East_Exposure"/>
                    <pic:cNvPicPr>
                      <a:picLocks noChangeAspect="1"/>
                    </pic:cNvPicPr>
                  </pic:nvPicPr>
                  <pic:blipFill>
                    <a:blip r:embed="rId34"/>
                    <a:stretch>
                      <a:fillRect/>
                    </a:stretch>
                  </pic:blipFill>
                  <pic:spPr>
                    <a:xfrm>
                      <a:off x="0" y="0"/>
                      <a:ext cx="5936615" cy="4197350"/>
                    </a:xfrm>
                    <a:prstGeom prst="rect">
                      <a:avLst/>
                    </a:prstGeom>
                  </pic:spPr>
                </pic:pic>
              </a:graphicData>
            </a:graphic>
          </wp:inline>
        </w:drawing>
      </w:r>
    </w:p>
    <w:p w14:paraId="5EFDB428" w14:textId="77777777" w:rsidR="0099599B" w:rsidRDefault="00EB7A3F">
      <w:pPr>
        <w:pStyle w:val="Caption"/>
        <w:spacing w:line="360" w:lineRule="auto"/>
      </w:pPr>
      <w:r>
        <w:lastRenderedPageBreak/>
        <w:t xml:space="preserve">Figure </w:t>
      </w:r>
      <w:r>
        <w:fldChar w:fldCharType="begin"/>
      </w:r>
      <w:r>
        <w:instrText xml:space="preserve"> SEQ Figure \* ARABIC </w:instrText>
      </w:r>
      <w:r>
        <w:fldChar w:fldCharType="separate"/>
      </w:r>
      <w:r>
        <w:t>16</w:t>
      </w:r>
      <w:r>
        <w:fldChar w:fldCharType="end"/>
      </w:r>
      <w:bookmarkStart w:id="55" w:name="_Toc26561"/>
      <w:r>
        <w:t xml:space="preserve">: Climate Exposure of Ada East </w:t>
      </w:r>
      <w:bookmarkEnd w:id="55"/>
    </w:p>
    <w:p w14:paraId="45F55579" w14:textId="77777777" w:rsidR="0099599B" w:rsidRDefault="0099599B"/>
    <w:p w14:paraId="6FDCCEDB" w14:textId="77777777" w:rsidR="0099599B" w:rsidRDefault="00EB7A3F">
      <w:pPr>
        <w:pStyle w:val="Heading4"/>
        <w:spacing w:line="360" w:lineRule="auto"/>
        <w:rPr>
          <w:color w:val="47D459" w:themeColor="accent3" w:themeTint="99"/>
        </w:rPr>
      </w:pPr>
      <w:r>
        <w:rPr>
          <w:color w:val="47D459" w:themeColor="accent3" w:themeTint="99"/>
        </w:rPr>
        <w:t>3.3.2.4 Climate Sensitivity</w:t>
      </w:r>
      <w:r>
        <w:rPr>
          <w:color w:val="47D459" w:themeColor="accent3" w:themeTint="99"/>
        </w:rPr>
        <w:tab/>
      </w:r>
    </w:p>
    <w:p w14:paraId="04F8A7D7" w14:textId="77777777" w:rsidR="0099599B" w:rsidRDefault="00EB7A3F">
      <w:pPr>
        <w:spacing w:line="360" w:lineRule="auto"/>
        <w:jc w:val="both"/>
      </w:pPr>
      <w:r>
        <w:t>Sensitivity in Ada East is largely driven by reliance on climate-sensitive livelihoods—farming, fishing, and salt mining—combined with fragile WASH systems. The highest sensitivity scores are observed in Lufenya (0.568) and Kajanya (0.518), inland communities where severe water scarcity forces households to spend heavily on purchased water. Enumerator observations confirm that inadequate facilities and limited livelihood options amplify risks in these areas. Pediatorkope (0.439), a small island settlement o</w:t>
      </w:r>
      <w:r>
        <w:t>n the Volta River, also exhibits elevated sensitivity due to its isolation, poor infrastructure, and dependence on seasonal fishing.</w:t>
      </w:r>
    </w:p>
    <w:p w14:paraId="524B9562" w14:textId="77777777" w:rsidR="0099599B" w:rsidRDefault="00EB7A3F">
      <w:pPr>
        <w:spacing w:line="360" w:lineRule="auto"/>
        <w:jc w:val="both"/>
      </w:pPr>
      <w:r>
        <w:t>Coastal settlements such as Aflive (0.464) and Otrokpe (0.411) show moderate sensitivity, reflecting disruptions from tidal surges and flooding that contaminate water supplies and damage farmland. Communities like Big Ada (0.288) and Elavanyo (0.360) report relatively lower sensitivity, supported by better access to services, stronger markets, and more diversified economic activities.</w:t>
      </w:r>
    </w:p>
    <w:p w14:paraId="38AEA5DF" w14:textId="77777777" w:rsidR="0099599B" w:rsidRDefault="00EB7A3F">
      <w:pPr>
        <w:spacing w:line="360" w:lineRule="auto"/>
        <w:jc w:val="both"/>
      </w:pPr>
      <w:r>
        <w:t>Overall, sensitivity is greatest in inland farming and island communities, where access to water, health, and sanitation is most limited. Coastal communities remain vulnerable but benefit from diversified economies.</w:t>
      </w:r>
    </w:p>
    <w:p w14:paraId="1F1E2A9D" w14:textId="77777777" w:rsidR="0099599B" w:rsidRDefault="00EB7A3F">
      <w:pPr>
        <w:spacing w:line="360" w:lineRule="auto"/>
        <w:jc w:val="both"/>
      </w:pPr>
      <w:r>
        <w:t>High sensitivity in inland and island communities underscores the need for targeted interventions to improve water access, sanitation, and livelihood diversification. Strengthening basic services and supporting alternative income sources can reduce vulnerability and enhance resilience. Coastal communities, while less sensitive due to economic diversity, still require measures to protect water quality and agricultural productivity during flooding and tidal surges.</w:t>
      </w:r>
    </w:p>
    <w:p w14:paraId="63559144" w14:textId="77777777" w:rsidR="0099599B" w:rsidRDefault="0099599B">
      <w:pPr>
        <w:spacing w:line="360" w:lineRule="auto"/>
      </w:pPr>
    </w:p>
    <w:p w14:paraId="64B2BB70" w14:textId="77777777" w:rsidR="0099599B" w:rsidRDefault="00EB7A3F">
      <w:pPr>
        <w:spacing w:line="360" w:lineRule="auto"/>
      </w:pPr>
      <w:r>
        <w:rPr>
          <w:noProof/>
        </w:rPr>
        <w:lastRenderedPageBreak/>
        <w:drawing>
          <wp:inline distT="0" distB="0" distL="114300" distR="114300" wp14:anchorId="3E5CFE98" wp14:editId="109FED94">
            <wp:extent cx="5936615" cy="4197350"/>
            <wp:effectExtent l="0" t="0" r="6985" b="8890"/>
            <wp:docPr id="22" name="Picture 22" descr="Ada East_Sen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da East_Sensitivity"/>
                    <pic:cNvPicPr>
                      <a:picLocks noChangeAspect="1"/>
                    </pic:cNvPicPr>
                  </pic:nvPicPr>
                  <pic:blipFill>
                    <a:blip r:embed="rId35"/>
                    <a:stretch>
                      <a:fillRect/>
                    </a:stretch>
                  </pic:blipFill>
                  <pic:spPr>
                    <a:xfrm>
                      <a:off x="0" y="0"/>
                      <a:ext cx="5936615" cy="4197350"/>
                    </a:xfrm>
                    <a:prstGeom prst="rect">
                      <a:avLst/>
                    </a:prstGeom>
                  </pic:spPr>
                </pic:pic>
              </a:graphicData>
            </a:graphic>
          </wp:inline>
        </w:drawing>
      </w:r>
    </w:p>
    <w:p w14:paraId="37CD9A72"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17</w:t>
      </w:r>
      <w:r>
        <w:fldChar w:fldCharType="end"/>
      </w:r>
      <w:bookmarkStart w:id="56" w:name="_Toc3020"/>
      <w:r>
        <w:t>: Climate Sensitivity of Ada East District - Heat map</w:t>
      </w:r>
      <w:bookmarkEnd w:id="56"/>
    </w:p>
    <w:p w14:paraId="65AACA53" w14:textId="77777777" w:rsidR="0099599B" w:rsidRDefault="00EB7A3F">
      <w:pPr>
        <w:pStyle w:val="Heading4"/>
        <w:spacing w:line="360" w:lineRule="auto"/>
        <w:rPr>
          <w:color w:val="47D459" w:themeColor="accent3" w:themeTint="99"/>
        </w:rPr>
      </w:pPr>
      <w:r>
        <w:rPr>
          <w:color w:val="47D459" w:themeColor="accent3" w:themeTint="99"/>
        </w:rPr>
        <w:t>3.3.2.5 Adaptive Capacity</w:t>
      </w:r>
    </w:p>
    <w:p w14:paraId="6420B3DB" w14:textId="77777777" w:rsidR="0099599B" w:rsidRDefault="00EB7A3F">
      <w:pPr>
        <w:spacing w:line="360" w:lineRule="auto"/>
        <w:jc w:val="both"/>
        <w:rPr>
          <w:lang w:eastAsia="en-GB"/>
        </w:rPr>
      </w:pPr>
      <w:r>
        <w:rPr>
          <w:lang w:eastAsia="en-GB"/>
        </w:rPr>
        <w:t>Adaptive capacity in Ada East varies considerably, influenced by socio-demographic factors, livelihood diversification, and social networks. Market hubs such as Kasseh (0.779) and Big Ada (0.683) exhibit the highest adaptive capacity, with strong commercial activity, extensive social connections, and better access to infrastructure and services enabling households to respond effectively to climate shocks. Coastal communities like Azizanya (0.747), Elavanyo (0.750), and Otrokpe (0.738) also demonstrate relat</w:t>
      </w:r>
      <w:r>
        <w:rPr>
          <w:lang w:eastAsia="en-GB"/>
        </w:rPr>
        <w:t>ively high adaptive potential, supported by diversified fishing, farming, and trading activities, as well as cohesive social networks.</w:t>
      </w:r>
    </w:p>
    <w:p w14:paraId="55A0D35D" w14:textId="77777777" w:rsidR="0099599B" w:rsidRDefault="0099599B">
      <w:pPr>
        <w:spacing w:line="360" w:lineRule="auto"/>
        <w:jc w:val="both"/>
        <w:rPr>
          <w:lang w:eastAsia="en-GB"/>
        </w:rPr>
      </w:pPr>
    </w:p>
    <w:p w14:paraId="15D98BD3" w14:textId="77777777" w:rsidR="0099599B" w:rsidRDefault="00EB7A3F">
      <w:pPr>
        <w:spacing w:line="360" w:lineRule="auto"/>
        <w:jc w:val="both"/>
        <w:rPr>
          <w:lang w:eastAsia="en-GB"/>
        </w:rPr>
      </w:pPr>
      <w:r>
        <w:rPr>
          <w:lang w:eastAsia="en-GB"/>
        </w:rPr>
        <w:t xml:space="preserve">In contrast, Pediatorkope (0.512) and Torgbloku (0.560) have the lowest adaptive capacity. Pediatorkope’s isolation limits access to markets, schools, and health facilities, while Torgbloku faces weaker social networks and fewer alternative livelihood options. Lufenya (0.559) also </w:t>
      </w:r>
      <w:r>
        <w:rPr>
          <w:lang w:eastAsia="en-GB"/>
        </w:rPr>
        <w:lastRenderedPageBreak/>
        <w:t>exhibits lower adaptive potential, reflecting socio-demographic constraints and high reliance on vulnerable rain-fed agriculture. Although all communities have negative IPCC-LVI scores—indicating that adaptive capacity currently mitigates some exposure and sensitivity—the margin is thin in isolated and resource-stressed areas.</w:t>
      </w:r>
    </w:p>
    <w:p w14:paraId="55D5ECDA" w14:textId="77777777" w:rsidR="0099599B" w:rsidRDefault="00EB7A3F">
      <w:pPr>
        <w:spacing w:line="360" w:lineRule="auto"/>
        <w:jc w:val="both"/>
        <w:rPr>
          <w:lang w:eastAsia="en-GB"/>
        </w:rPr>
      </w:pPr>
      <w:r>
        <w:rPr>
          <w:lang w:eastAsia="en-GB"/>
        </w:rPr>
        <w:t>Enhancing adaptive capacity in Ada East requires targeted investments in infrastructure, including potable water, sanitation, health facilities, and market access, particularly in isolated inland and island communities. Strengthening social networks, promoting livelihood diversification, and improving connectivity will further enable households to respond to climate shocks, reducing vulnerability and supporting sustainable development across the district.</w:t>
      </w:r>
    </w:p>
    <w:p w14:paraId="0AEC40D0" w14:textId="77777777" w:rsidR="0099599B" w:rsidRDefault="0099599B">
      <w:pPr>
        <w:spacing w:line="360" w:lineRule="auto"/>
        <w:jc w:val="both"/>
        <w:rPr>
          <w:lang w:eastAsia="en-GB"/>
        </w:rPr>
      </w:pPr>
    </w:p>
    <w:p w14:paraId="247F2855" w14:textId="77777777" w:rsidR="0099599B" w:rsidRDefault="00EB7A3F">
      <w:pPr>
        <w:spacing w:line="360" w:lineRule="auto"/>
        <w:jc w:val="both"/>
      </w:pPr>
      <w:r>
        <w:rPr>
          <w:noProof/>
        </w:rPr>
        <w:drawing>
          <wp:inline distT="0" distB="0" distL="114300" distR="114300" wp14:anchorId="626A10DE" wp14:editId="1A160724">
            <wp:extent cx="5936615" cy="3990975"/>
            <wp:effectExtent l="0" t="0" r="6985" b="9525"/>
            <wp:docPr id="24" name="Picture 24" descr="Ada East_Adaptive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da East_Adaptive capacity"/>
                    <pic:cNvPicPr>
                      <a:picLocks noChangeAspect="1"/>
                    </pic:cNvPicPr>
                  </pic:nvPicPr>
                  <pic:blipFill>
                    <a:blip r:embed="rId36"/>
                    <a:stretch>
                      <a:fillRect/>
                    </a:stretch>
                  </pic:blipFill>
                  <pic:spPr>
                    <a:xfrm>
                      <a:off x="0" y="0"/>
                      <a:ext cx="5936615" cy="3990975"/>
                    </a:xfrm>
                    <a:prstGeom prst="rect">
                      <a:avLst/>
                    </a:prstGeom>
                  </pic:spPr>
                </pic:pic>
              </a:graphicData>
            </a:graphic>
          </wp:inline>
        </w:drawing>
      </w:r>
    </w:p>
    <w:p w14:paraId="3D3B0445"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18</w:t>
      </w:r>
      <w:r>
        <w:fldChar w:fldCharType="end"/>
      </w:r>
      <w:bookmarkStart w:id="57" w:name="_Toc23597"/>
      <w:r>
        <w:t>: Adaptive Capacity Heat Map of Ada East District</w:t>
      </w:r>
      <w:bookmarkEnd w:id="57"/>
    </w:p>
    <w:p w14:paraId="1C1F982C" w14:textId="77777777" w:rsidR="0099599B" w:rsidRDefault="00EB7A3F">
      <w:pPr>
        <w:pStyle w:val="Heading4"/>
        <w:spacing w:line="360" w:lineRule="auto"/>
        <w:rPr>
          <w:rFonts w:ascii="Times New Roman" w:hAnsi="Times New Roman" w:cs="Times New Roman"/>
          <w:color w:val="47D459" w:themeColor="accent3" w:themeTint="99"/>
        </w:rPr>
      </w:pPr>
      <w:r>
        <w:rPr>
          <w:color w:val="47D459" w:themeColor="accent3" w:themeTint="99"/>
        </w:rPr>
        <w:t>3.3.2.6 Gender dimensions of vulnerability</w:t>
      </w:r>
      <w:r>
        <w:rPr>
          <w:color w:val="47D459" w:themeColor="accent3" w:themeTint="99"/>
        </w:rPr>
        <w:tab/>
        <w:t xml:space="preserve"> </w:t>
      </w:r>
    </w:p>
    <w:p w14:paraId="031D7FF1" w14:textId="77777777" w:rsidR="0099599B" w:rsidRDefault="00EB7A3F">
      <w:pPr>
        <w:spacing w:line="360" w:lineRule="auto"/>
        <w:jc w:val="both"/>
        <w:rPr>
          <w:lang w:eastAsia="en-GB"/>
        </w:rPr>
      </w:pPr>
      <w:r>
        <w:rPr>
          <w:lang w:eastAsia="en-GB"/>
        </w:rPr>
        <w:lastRenderedPageBreak/>
        <w:t>The vulnerability of Ada East District to climate change is strongly influenced by gender dynamics, as roles, responsibilities, and access to resources are unevenly distributed between men and women. Survey results indicate that these disparities shape exposure, sensitivity, and adaptive capacity across households. While decision-making is often joint, men retain greater independent authority over key livelihood areas. For instance, although more than half of households make financial decisions jointly, men</w:t>
      </w:r>
      <w:r>
        <w:rPr>
          <w:lang w:eastAsia="en-GB"/>
        </w:rPr>
        <w:t xml:space="preserve"> account for the largest share of sole decision-making, and women the smallest. Similarly, about two-thirds of farming decisions are made jointly, but nearly a third are made by men alone, with women again holding the least influence.</w:t>
      </w:r>
    </w:p>
    <w:p w14:paraId="1DC1FD9F" w14:textId="77777777" w:rsidR="0099599B" w:rsidRDefault="00EB7A3F">
      <w:pPr>
        <w:spacing w:line="360" w:lineRule="auto"/>
        <w:jc w:val="both"/>
        <w:rPr>
          <w:lang w:eastAsia="en-GB"/>
        </w:rPr>
      </w:pPr>
      <w:r>
        <w:rPr>
          <w:lang w:eastAsia="en-GB"/>
        </w:rPr>
        <w:t>These patterns reflect broader district realities: women contribute substantially to farming, trading, and household provisioning, yet limited autonomy in critical livelihood choices reduces their capacity to independently respond to climate shocks. Gender disparities in decision-making constrain women’s adaptive capacity, leaving them disproportionately vulnerable during climate events. Strengthening women’s access to resources, credit, training, and decision-making power alongside promoting inclusive hous</w:t>
      </w:r>
      <w:r>
        <w:rPr>
          <w:lang w:eastAsia="en-GB"/>
        </w:rPr>
        <w:t>ehold and community governance—can enhance resilience, improve adaptive responses, and ensure that both men and women contribute effectively to climate adaptation strategies in Ada East.</w:t>
      </w:r>
    </w:p>
    <w:p w14:paraId="362B71AA" w14:textId="77777777" w:rsidR="0099599B" w:rsidRDefault="0099599B">
      <w:pPr>
        <w:spacing w:line="360" w:lineRule="auto"/>
        <w:jc w:val="both"/>
        <w:rPr>
          <w:lang w:eastAsia="en-GB"/>
        </w:rPr>
      </w:pPr>
    </w:p>
    <w:p w14:paraId="3BB45A61" w14:textId="77777777" w:rsidR="0099599B" w:rsidRDefault="00EB7A3F">
      <w:pPr>
        <w:spacing w:line="360" w:lineRule="auto"/>
        <w:jc w:val="both"/>
      </w:pPr>
      <w:r>
        <w:rPr>
          <w:noProof/>
        </w:rPr>
        <w:drawing>
          <wp:inline distT="0" distB="0" distL="114300" distR="114300" wp14:anchorId="5A1CB888" wp14:editId="1AE02C0D">
            <wp:extent cx="5528945" cy="2777490"/>
            <wp:effectExtent l="4445" t="4445" r="13970" b="6985"/>
            <wp:docPr id="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0FC09FE" w14:textId="77777777" w:rsidR="0099599B" w:rsidRDefault="00EB7A3F">
      <w:pPr>
        <w:pStyle w:val="Caption"/>
        <w:spacing w:line="360" w:lineRule="auto"/>
        <w:jc w:val="both"/>
        <w:rPr>
          <w:lang w:eastAsia="en-GB"/>
        </w:rPr>
      </w:pPr>
      <w:r>
        <w:t xml:space="preserve">Figure </w:t>
      </w:r>
      <w:r>
        <w:fldChar w:fldCharType="begin"/>
      </w:r>
      <w:r>
        <w:instrText xml:space="preserve"> SEQ Figure \* ARABIC </w:instrText>
      </w:r>
      <w:r>
        <w:fldChar w:fldCharType="separate"/>
      </w:r>
      <w:r>
        <w:t>19</w:t>
      </w:r>
      <w:r>
        <w:fldChar w:fldCharType="end"/>
      </w:r>
      <w:bookmarkStart w:id="58" w:name="_Toc18458"/>
      <w:r>
        <w:rPr>
          <w:lang w:eastAsia="en-GB"/>
        </w:rPr>
        <w:t>: Household Dec</w:t>
      </w:r>
      <w:r>
        <w:rPr>
          <w:lang w:eastAsia="en-GB"/>
        </w:rPr>
        <w:t>is</w:t>
      </w:r>
      <w:r>
        <w:rPr>
          <w:lang w:eastAsia="en-GB"/>
        </w:rPr>
        <w:t>ion Making</w:t>
      </w:r>
      <w:bookmarkEnd w:id="58"/>
    </w:p>
    <w:p w14:paraId="30180514" w14:textId="77777777" w:rsidR="0099599B" w:rsidRDefault="00EB7A3F">
      <w:pPr>
        <w:spacing w:line="360" w:lineRule="auto"/>
        <w:jc w:val="both"/>
        <w:rPr>
          <w:lang w:eastAsia="en-GB"/>
        </w:rPr>
      </w:pPr>
      <w:r>
        <w:rPr>
          <w:lang w:eastAsia="en-GB"/>
        </w:rPr>
        <w:lastRenderedPageBreak/>
        <w:t>Water scarcity highlights one of the most pronounced gendered vulnerabilities in Ada East. In communities such as Kajanya, Lufenya, and Togbloku, enumerators observed that households spend significant sums purchasing water due to saline intrusion and unreliable supply. Survey findings indicate that over three-quarters of households rely on women to fetch water, while men rarely assume this responsibility. This dynamic means that women bear both the physical burden of water collection and the financial stres</w:t>
      </w:r>
      <w:r>
        <w:rPr>
          <w:lang w:eastAsia="en-GB"/>
        </w:rPr>
        <w:t>s of securing water during shortages. Consequently, their time for income-generating activities is reduced, and their exposure to climate risks increases when dry spells are prolonged.</w:t>
      </w:r>
    </w:p>
    <w:p w14:paraId="2487A5C3" w14:textId="77777777" w:rsidR="0099599B" w:rsidRDefault="0099599B">
      <w:pPr>
        <w:spacing w:line="360" w:lineRule="auto"/>
        <w:jc w:val="both"/>
        <w:rPr>
          <w:lang w:eastAsia="en-GB"/>
        </w:rPr>
      </w:pPr>
    </w:p>
    <w:p w14:paraId="02EEE6FC" w14:textId="77777777" w:rsidR="0099599B" w:rsidRDefault="00EB7A3F">
      <w:pPr>
        <w:spacing w:line="360" w:lineRule="auto"/>
        <w:jc w:val="both"/>
        <w:rPr>
          <w:lang w:eastAsia="en-GB"/>
        </w:rPr>
      </w:pPr>
      <w:r>
        <w:rPr>
          <w:lang w:eastAsia="en-GB"/>
        </w:rPr>
        <w:t>Fishing and coastal livelihoods reveal similar gender disparities. In estuarine communities like Azizanya and Elavanyo, men dominate offshore fishing, while women are responsible for processing and trade. When flooding or tidal surges reduce fish catches, men lose immediate harvests, but women lose access to raw fish for processing. The survey also shows that fewer than one in ten households report women having equal access to credit, limiting their ability to recover trading businesses after climate shocks</w:t>
      </w:r>
      <w:r>
        <w:rPr>
          <w:lang w:eastAsia="en-GB"/>
        </w:rPr>
        <w:t>. This financial exclusion undermines women’s adaptive capacity, despite their critical role in sustaining household food security.</w:t>
      </w:r>
    </w:p>
    <w:p w14:paraId="22200D6B" w14:textId="77777777" w:rsidR="0099599B" w:rsidRDefault="0099599B">
      <w:pPr>
        <w:spacing w:line="360" w:lineRule="auto"/>
        <w:jc w:val="both"/>
        <w:rPr>
          <w:lang w:eastAsia="en-GB"/>
        </w:rPr>
      </w:pPr>
    </w:p>
    <w:p w14:paraId="42AF7A5F" w14:textId="77777777" w:rsidR="0099599B" w:rsidRDefault="00EB7A3F">
      <w:pPr>
        <w:spacing w:line="360" w:lineRule="auto"/>
        <w:jc w:val="both"/>
        <w:rPr>
          <w:lang w:eastAsia="en-GB"/>
        </w:rPr>
      </w:pPr>
      <w:r>
        <w:rPr>
          <w:noProof/>
        </w:rPr>
        <w:drawing>
          <wp:inline distT="0" distB="0" distL="114300" distR="114300" wp14:anchorId="25069EC1" wp14:editId="0A051627">
            <wp:extent cx="5368290" cy="2677160"/>
            <wp:effectExtent l="4445" t="4445" r="6985" b="15875"/>
            <wp:docPr id="2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0F65757" w14:textId="77777777" w:rsidR="0099599B" w:rsidRDefault="00EB7A3F">
      <w:pPr>
        <w:pStyle w:val="Caption"/>
        <w:spacing w:line="360" w:lineRule="auto"/>
        <w:jc w:val="both"/>
        <w:rPr>
          <w:rFonts w:ascii="Times New Roman" w:hAnsi="Times New Roman"/>
          <w:lang w:eastAsia="en-GB"/>
        </w:rPr>
      </w:pPr>
      <w:r>
        <w:t xml:space="preserve">Figure </w:t>
      </w:r>
      <w:r>
        <w:fldChar w:fldCharType="begin"/>
      </w:r>
      <w:r>
        <w:instrText xml:space="preserve"> SEQ Figure \* ARABIC </w:instrText>
      </w:r>
      <w:r>
        <w:fldChar w:fldCharType="separate"/>
      </w:r>
      <w:r>
        <w:t>20</w:t>
      </w:r>
      <w:r>
        <w:fldChar w:fldCharType="end"/>
      </w:r>
      <w:bookmarkStart w:id="59" w:name="_Toc90"/>
      <w:r>
        <w:rPr>
          <w:lang w:eastAsia="en-GB"/>
        </w:rPr>
        <w:t>:</w:t>
      </w:r>
      <w:r>
        <w:rPr>
          <w:lang w:eastAsia="en-GB"/>
        </w:rPr>
        <w:t xml:space="preserve"> </w:t>
      </w:r>
      <w:r>
        <w:rPr>
          <w:lang w:eastAsia="en-GB"/>
        </w:rPr>
        <w:t>Household Tasks roles and responsibility</w:t>
      </w:r>
      <w:bookmarkEnd w:id="59"/>
    </w:p>
    <w:p w14:paraId="658193B9" w14:textId="77777777" w:rsidR="0099599B" w:rsidRDefault="00EB7A3F">
      <w:pPr>
        <w:spacing w:line="360" w:lineRule="auto"/>
        <w:jc w:val="both"/>
        <w:rPr>
          <w:lang w:eastAsia="en-GB"/>
        </w:rPr>
      </w:pPr>
      <w:r>
        <w:rPr>
          <w:lang w:eastAsia="en-GB"/>
        </w:rPr>
        <w:lastRenderedPageBreak/>
        <w:t>Childcare and domestic responsibilities further increase women’s sensitivity to climate impacts. The survey found that while most childcare is shared between men and women, women assume a larger share when responsibilities are not equally distributed. This pattern is evident in communities such as Obane and Atortorkope, where limited access to health facilities forces women to spend additional time caring for children and elderly relatives during floods or disease outbreaks. These obligations reduce women’s</w:t>
      </w:r>
      <w:r>
        <w:rPr>
          <w:lang w:eastAsia="en-GB"/>
        </w:rPr>
        <w:t xml:space="preserve"> availability for income-generating activities, heightening their vulnerability when livelihoods are disrupted.</w:t>
      </w:r>
    </w:p>
    <w:p w14:paraId="370D085C" w14:textId="77777777" w:rsidR="0099599B" w:rsidRDefault="00EB7A3F">
      <w:pPr>
        <w:spacing w:line="360" w:lineRule="auto"/>
        <w:jc w:val="both"/>
        <w:rPr>
          <w:lang w:eastAsia="en-GB"/>
        </w:rPr>
      </w:pPr>
      <w:r>
        <w:rPr>
          <w:lang w:eastAsia="en-GB"/>
        </w:rPr>
        <w:t>Access to resources provides another perspective on gender inequality. Just over half of respondents reported that women have equal access to land, while the remainder indicated contested or male-dominated access. Access to credit is even more restricted: fewer than one in ten households confirmed equal female access, leaving women dependent on men or shared arrangements. Similarly, although over 90 percent of households reported that access to information is shared, very few women have independent control.</w:t>
      </w:r>
      <w:r>
        <w:rPr>
          <w:lang w:eastAsia="en-GB"/>
        </w:rPr>
        <w:t xml:space="preserve"> These dynamics demonstrate that women often rely on male intermediaries for climate-related knowledge, which can delay or limit their ability to act swiftly in emergencies.</w:t>
      </w:r>
    </w:p>
    <w:p w14:paraId="0A067755" w14:textId="77777777" w:rsidR="0099599B" w:rsidRDefault="0099599B">
      <w:pPr>
        <w:spacing w:line="360" w:lineRule="auto"/>
        <w:jc w:val="both"/>
        <w:rPr>
          <w:lang w:eastAsia="en-GB"/>
        </w:rPr>
      </w:pPr>
    </w:p>
    <w:p w14:paraId="351CBD6A" w14:textId="77777777" w:rsidR="0099599B" w:rsidRDefault="00EB7A3F">
      <w:pPr>
        <w:spacing w:line="360" w:lineRule="auto"/>
        <w:jc w:val="both"/>
        <w:rPr>
          <w:lang w:eastAsia="en-GB"/>
        </w:rPr>
      </w:pPr>
      <w:r>
        <w:rPr>
          <w:noProof/>
        </w:rPr>
        <w:drawing>
          <wp:inline distT="0" distB="0" distL="114300" distR="114300" wp14:anchorId="002F86F3" wp14:editId="3A58D545">
            <wp:extent cx="5669915" cy="2628900"/>
            <wp:effectExtent l="0" t="0" r="6985" b="0"/>
            <wp:docPr id="2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A9B5491" w14:textId="77777777" w:rsidR="0099599B" w:rsidRDefault="00EB7A3F">
      <w:pPr>
        <w:pStyle w:val="Caption"/>
        <w:spacing w:line="360" w:lineRule="auto"/>
        <w:jc w:val="both"/>
        <w:rPr>
          <w:lang w:eastAsia="en-GB"/>
        </w:rPr>
      </w:pPr>
      <w:r>
        <w:t xml:space="preserve">Figure </w:t>
      </w:r>
      <w:r>
        <w:fldChar w:fldCharType="begin"/>
      </w:r>
      <w:r>
        <w:instrText xml:space="preserve"> SEQ Figure \* ARABIC </w:instrText>
      </w:r>
      <w:r>
        <w:fldChar w:fldCharType="separate"/>
      </w:r>
      <w:r>
        <w:t>21</w:t>
      </w:r>
      <w:r>
        <w:fldChar w:fldCharType="end"/>
      </w:r>
      <w:bookmarkStart w:id="60" w:name="_Toc25489"/>
      <w:r>
        <w:rPr>
          <w:lang w:eastAsia="en-GB"/>
        </w:rPr>
        <w:t>: Women Climate Adaptive Capacity</w:t>
      </w:r>
      <w:bookmarkEnd w:id="60"/>
    </w:p>
    <w:p w14:paraId="2407F5FA" w14:textId="77777777" w:rsidR="0099599B" w:rsidRDefault="00EB7A3F">
      <w:pPr>
        <w:spacing w:line="360" w:lineRule="auto"/>
        <w:rPr>
          <w:lang w:eastAsia="en-GB"/>
        </w:rPr>
      </w:pPr>
      <w:r>
        <w:rPr>
          <w:lang w:eastAsia="en-GB"/>
        </w:rPr>
        <w:t xml:space="preserve">Institutional support for women is largely absent in Ada East. The survey found that nearly all households reported no organizations assisting women with climate adaptation, with only a few </w:t>
      </w:r>
      <w:r>
        <w:rPr>
          <w:lang w:eastAsia="en-GB"/>
        </w:rPr>
        <w:lastRenderedPageBreak/>
        <w:t>acknowledging any form of financial support. This lack of structured backing forces women to rely on informal networks, despite their disproportionate responsibilities in water collection, childcare, and household food security.</w:t>
      </w:r>
    </w:p>
    <w:p w14:paraId="60742D3E" w14:textId="77777777" w:rsidR="0099599B" w:rsidRDefault="0099599B">
      <w:pPr>
        <w:spacing w:line="360" w:lineRule="auto"/>
        <w:rPr>
          <w:lang w:eastAsia="en-GB"/>
        </w:rPr>
      </w:pPr>
    </w:p>
    <w:p w14:paraId="63F890EB" w14:textId="77777777" w:rsidR="0099599B" w:rsidRDefault="00EB7A3F">
      <w:pPr>
        <w:spacing w:line="360" w:lineRule="auto"/>
        <w:rPr>
          <w:lang w:eastAsia="en-GB"/>
        </w:rPr>
      </w:pPr>
      <w:r>
        <w:rPr>
          <w:noProof/>
        </w:rPr>
        <w:drawing>
          <wp:inline distT="0" distB="0" distL="114300" distR="114300" wp14:anchorId="7CFA8C5C" wp14:editId="32E79AE9">
            <wp:extent cx="5859145" cy="2295525"/>
            <wp:effectExtent l="0" t="0" r="8255" b="9525"/>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1DC68B4" w14:textId="77777777" w:rsidR="0099599B" w:rsidRDefault="00EB7A3F">
      <w:pPr>
        <w:pStyle w:val="Caption"/>
        <w:spacing w:line="360" w:lineRule="auto"/>
        <w:rPr>
          <w:lang w:eastAsia="en-GB"/>
        </w:rPr>
      </w:pPr>
      <w:r>
        <w:t xml:space="preserve">Figure </w:t>
      </w:r>
      <w:r>
        <w:fldChar w:fldCharType="begin"/>
      </w:r>
      <w:r>
        <w:instrText xml:space="preserve"> SEQ Figure \* ARABIC </w:instrText>
      </w:r>
      <w:r>
        <w:fldChar w:fldCharType="separate"/>
      </w:r>
      <w:r>
        <w:t>22</w:t>
      </w:r>
      <w:r>
        <w:fldChar w:fldCharType="end"/>
      </w:r>
      <w:bookmarkStart w:id="61" w:name="_Toc18870"/>
      <w:r>
        <w:rPr>
          <w:lang w:eastAsia="en-GB"/>
        </w:rPr>
        <w:t>: Access to resources</w:t>
      </w:r>
      <w:bookmarkEnd w:id="61"/>
    </w:p>
    <w:p w14:paraId="0FA9995C" w14:textId="77777777" w:rsidR="0099599B" w:rsidRDefault="00EB7A3F">
      <w:pPr>
        <w:spacing w:line="360" w:lineRule="auto"/>
        <w:jc w:val="both"/>
      </w:pPr>
      <w:r>
        <w:rPr>
          <w:lang w:eastAsia="en-GB"/>
        </w:rPr>
        <w:t xml:space="preserve">In summary, the survey data highlight how gender dynamics amplify vulnerability in Ada East. Men retain greater authority over financial and farming decisions, while women despite their central roles in water collection, childcare, and food processing have limited access to credit, land, and institutional support. The heavy reliance on women for water provision, their minimal independent decision-making over household resources, and the near absence of structured adaptation support collectively demonstrate </w:t>
      </w:r>
      <w:r>
        <w:rPr>
          <w:lang w:eastAsia="en-GB"/>
        </w:rPr>
        <w:t>how climate risks intersect with and exacerbate existing gender inequalities.</w:t>
      </w:r>
      <w:r>
        <w:br w:type="page"/>
      </w:r>
    </w:p>
    <w:p w14:paraId="786D1B56" w14:textId="77777777" w:rsidR="0099599B" w:rsidRDefault="00EB7A3F">
      <w:pPr>
        <w:pStyle w:val="Heading1"/>
        <w:spacing w:line="360" w:lineRule="auto"/>
      </w:pPr>
      <w:bookmarkStart w:id="62" w:name="_Toc5307"/>
      <w:r>
        <w:lastRenderedPageBreak/>
        <w:t>CHAPTER 4: ASSESSMENT OF VULNERABILITY TO FUTURE CLIMATE CHANGE</w:t>
      </w:r>
      <w:bookmarkEnd w:id="62"/>
      <w:r>
        <w:tab/>
      </w:r>
      <w:r>
        <w:tab/>
      </w:r>
    </w:p>
    <w:p w14:paraId="0CBEA5EF" w14:textId="77777777" w:rsidR="0099599B" w:rsidRDefault="00EB7A3F">
      <w:pPr>
        <w:spacing w:line="360" w:lineRule="auto"/>
        <w:jc w:val="both"/>
      </w:pPr>
      <w:r>
        <w:t xml:space="preserve">This chapter presents the method (description of indicators derivation, data sources, data collection, data normalization, etc.) used to assess vulnerability. The results are presented in a descriptive approach of the VA in the </w:t>
      </w:r>
      <w:r>
        <w:t>district</w:t>
      </w:r>
      <w:r>
        <w:t>. The chapter further assesses future climate change risk (Summary of climate change projections and Potential impacts and future climate change risks) explaining how projected changes in climate can affect the district in future under business−as−usual scenario</w:t>
      </w:r>
      <w:r>
        <w:tab/>
      </w:r>
    </w:p>
    <w:p w14:paraId="08F086B0" w14:textId="77777777" w:rsidR="0099599B" w:rsidRDefault="0099599B">
      <w:pPr>
        <w:spacing w:line="360" w:lineRule="auto"/>
      </w:pPr>
    </w:p>
    <w:p w14:paraId="0E6BBEA5" w14:textId="77777777" w:rsidR="0099599B" w:rsidRDefault="00EB7A3F">
      <w:pPr>
        <w:pStyle w:val="Heading2"/>
        <w:spacing w:line="360" w:lineRule="auto"/>
      </w:pPr>
      <w:bookmarkStart w:id="63" w:name="_Toc26352"/>
      <w:r>
        <w:t>4.1 Climate Change Projections</w:t>
      </w:r>
      <w:bookmarkEnd w:id="63"/>
      <w:r>
        <w:tab/>
      </w:r>
    </w:p>
    <w:p w14:paraId="567D75F7"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t>4.1.1 Description of the Climate Projection Method</w:t>
      </w:r>
      <w:r>
        <w:rPr>
          <w:rFonts w:ascii="Times New Roman" w:hAnsi="Times New Roman" w:cs="Times New Roman"/>
        </w:rPr>
        <w:tab/>
      </w:r>
    </w:p>
    <w:p w14:paraId="26235D26" w14:textId="77777777" w:rsidR="0099599B" w:rsidRDefault="00EB7A3F">
      <w:pPr>
        <w:spacing w:line="360" w:lineRule="auto"/>
        <w:jc w:val="both"/>
      </w:pPr>
      <w:r>
        <w:t>The climate projection for Ada East District was undertaken using the Coupled Model Intercomparison Project Phase 6 (CMIP6) framework, which provides multi-model ensembles of future climate under different emission and socioeconomic scenarios. The Shared Socioeconomic Pathways (SSPs), specifically SSP2-4.5 (a stabilization pathway) and SSP5-8.5 (a high-emission scenario), were selected to capture moderate and extreme futures. The projections were benchmarked against observed historical data from the Ghana M</w:t>
      </w:r>
      <w:r>
        <w:t>eteorological Agency and international climate datasets to assess long-term variability and emerging trends.</w:t>
      </w:r>
    </w:p>
    <w:p w14:paraId="35B93B2B" w14:textId="77777777" w:rsidR="0099599B" w:rsidRDefault="0099599B">
      <w:pPr>
        <w:spacing w:line="360" w:lineRule="auto"/>
      </w:pPr>
    </w:p>
    <w:p w14:paraId="1E1FBB96"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t>4.1.2 Data Collection for Climate Projection</w:t>
      </w:r>
      <w:r>
        <w:rPr>
          <w:rFonts w:ascii="Times New Roman" w:hAnsi="Times New Roman" w:cs="Times New Roman"/>
        </w:rPr>
        <w:tab/>
      </w:r>
    </w:p>
    <w:p w14:paraId="426C3099" w14:textId="77777777" w:rsidR="0099599B" w:rsidRDefault="00EB7A3F">
      <w:pPr>
        <w:spacing w:line="360" w:lineRule="auto"/>
        <w:jc w:val="both"/>
      </w:pPr>
      <w:r>
        <w:t xml:space="preserve">The dataset comprised daily and monthly historical climate data spanning over 40 years, including precipitation and temperature records. These were supplemented by gridded datasets and reanalysis products, which were bias-corrected against observed station data for Ada East and surrounding districts. Climate indices were computed to evaluate rainfall characteristics (e.g., annual totals, consecutive dry days, heavy rainfall events) and temperature extremes (e.g., </w:t>
      </w:r>
      <w:r>
        <w:lastRenderedPageBreak/>
        <w:t>heatwave duration, warm nights, diurnal temperature range). This data framework ensured that both mean climate conditions and extremes relevant to livelihoods were captured.</w:t>
      </w:r>
    </w:p>
    <w:p w14:paraId="4B9145E2" w14:textId="77777777" w:rsidR="0099599B" w:rsidRDefault="00EB7A3F">
      <w:pPr>
        <w:spacing w:line="360" w:lineRule="auto"/>
        <w:jc w:val="both"/>
      </w:pPr>
      <w:r>
        <w:t>To make the analysis robust, data were drawn from both observed records and climate model outputs. For the baseline and bias correction, CHIRPS rainfall data, which combine satellite and ground station observations at a fine resolution of 0.05° (about 5 km), were used alongside ERA5 reanalysis, which integrates weather observations and models to provide hourly temperature and humidity data at 0.25° (about 30 km) resolution. For future climate projections, the analysis relied on the CMIP6 ensemble, the lates</w:t>
      </w:r>
      <w:r>
        <w:t>t generation of global climate models coordinated by the World Climate Research Programme. Fifteen models from across the world were used, including ACCESS-CM2 from Australia, EC-Earth3-Veg from Europe, MIROC6 from Japan, and UKESM1-0-LL from the UK. These models differ in structure and resolution but together provide a strong multi-model basis. The projections were assessed under two Shared Socioeconomic Pathways: SSP2-4.5, a stabilization scenario with moderate warming, and SSP5-8.5, a high-emission pathw</w:t>
      </w:r>
      <w:r>
        <w:t>ay leading to more rapid warming. Four study periods were analyzed: a historical baseline (1991–2020), the near future (2026–2050), the mid future (2051–2075), and the far future (2076–2100). This combination of observed datasets and climate models ensures that the projections are both locally relevant and globally consistent.</w:t>
      </w:r>
    </w:p>
    <w:p w14:paraId="1F32C2F3" w14:textId="77777777" w:rsidR="0099599B" w:rsidRDefault="0099599B">
      <w:pPr>
        <w:spacing w:line="360" w:lineRule="auto"/>
        <w:rPr>
          <w:rFonts w:ascii="SimSun" w:eastAsia="SimSun" w:hAnsi="SimSun" w:cs="SimSun"/>
        </w:rPr>
      </w:pPr>
    </w:p>
    <w:p w14:paraId="796DA191"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t>4.1.3 Simulation and Downscaling</w:t>
      </w:r>
      <w:r>
        <w:rPr>
          <w:rFonts w:ascii="Times New Roman" w:hAnsi="Times New Roman" w:cs="Times New Roman"/>
        </w:rPr>
        <w:tab/>
      </w:r>
    </w:p>
    <w:p w14:paraId="7DDC27D7" w14:textId="77777777" w:rsidR="0099599B" w:rsidRDefault="00EB7A3F">
      <w:pPr>
        <w:spacing w:line="360" w:lineRule="auto"/>
        <w:jc w:val="both"/>
      </w:pPr>
      <w:r>
        <w:t>Global Climate Models (GCMs) were downscaled to a regional level using statistical downscaling techniques to capture fine-scale variability across Ada East’s coastal and lowland environments. Bias correction methods were applied to align modeled outputs with observed historical baselines. This downscaling process was essential to account for localized influences such as proximity to the Gulf of Guinea, the Volta River estuary and the Songor Lagoon, which significantly affect micro-climatic patterns. The sim</w:t>
      </w:r>
      <w:r>
        <w:t>ulations generated near future (2026–2050), mid-century (2051–2075) and far future (2076–2100) projections for precipitation and temperature under both SSP2-4.5 and SSP5-8.5 pathways.</w:t>
      </w:r>
    </w:p>
    <w:p w14:paraId="01F1602A" w14:textId="77777777" w:rsidR="0099599B" w:rsidRDefault="0099599B">
      <w:pPr>
        <w:spacing w:line="360" w:lineRule="auto"/>
        <w:jc w:val="both"/>
      </w:pPr>
    </w:p>
    <w:p w14:paraId="2402E4E1"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lastRenderedPageBreak/>
        <w:t>4.1.4 Analysis of Downscaled Results</w:t>
      </w:r>
    </w:p>
    <w:p w14:paraId="1E13595E" w14:textId="77777777" w:rsidR="0099599B" w:rsidRDefault="00EB7A3F">
      <w:pPr>
        <w:spacing w:line="360" w:lineRule="auto"/>
        <w:jc w:val="both"/>
      </w:pPr>
      <w:r>
        <w:t xml:space="preserve">The downscaled results reveal that precipitation in Ada East will remain highly variable, with near-term increases in rainfall intensity and frequency of extreme events under both SSPs. Historical records show annual rainfall fluctuating between 700–1,100 mm, with high interannual variability. Projections for the near and mid-future suggest slightly higher totals under SSP2-4.5, while SSP5-8.5 indicates more erratic trends with increased risk of prolonged dry spells. Seasonal distribution is also projected </w:t>
      </w:r>
      <w:r>
        <w:t>to shift, with delayed onset and earlier cessation of rains, reducing the effective length of the growing season.</w:t>
      </w:r>
    </w:p>
    <w:p w14:paraId="67583C85" w14:textId="77777777" w:rsidR="0099599B" w:rsidRDefault="00EB7A3F">
      <w:pPr>
        <w:spacing w:line="360" w:lineRule="auto"/>
        <w:jc w:val="both"/>
      </w:pPr>
      <w:r>
        <w:rPr>
          <w:noProof/>
        </w:rPr>
        <w:drawing>
          <wp:inline distT="0" distB="0" distL="114300" distR="114300" wp14:anchorId="7A2EAF4A" wp14:editId="6C079122">
            <wp:extent cx="5941695" cy="3200400"/>
            <wp:effectExtent l="0" t="0" r="1905" b="0"/>
            <wp:docPr id="11" name="Picture 11" descr="PRECIP_YEARLY_TREND_ADA_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RECIP_YEARLY_TREND_ADA_EAST"/>
                    <pic:cNvPicPr>
                      <a:picLocks noChangeAspect="1"/>
                    </pic:cNvPicPr>
                  </pic:nvPicPr>
                  <pic:blipFill>
                    <a:blip r:embed="rId41"/>
                    <a:stretch>
                      <a:fillRect/>
                    </a:stretch>
                  </pic:blipFill>
                  <pic:spPr>
                    <a:xfrm>
                      <a:off x="0" y="0"/>
                      <a:ext cx="5941695" cy="3200400"/>
                    </a:xfrm>
                    <a:prstGeom prst="rect">
                      <a:avLst/>
                    </a:prstGeom>
                  </pic:spPr>
                </pic:pic>
              </a:graphicData>
            </a:graphic>
          </wp:inline>
        </w:drawing>
      </w:r>
    </w:p>
    <w:p w14:paraId="3F169E32" w14:textId="77777777" w:rsidR="0099599B" w:rsidRDefault="00EB7A3F">
      <w:pPr>
        <w:pStyle w:val="Caption"/>
        <w:spacing w:line="360" w:lineRule="auto"/>
        <w:jc w:val="both"/>
      </w:pPr>
      <w:r>
        <w:t xml:space="preserve">Figure </w:t>
      </w:r>
      <w:r>
        <w:fldChar w:fldCharType="begin"/>
      </w:r>
      <w:r>
        <w:instrText xml:space="preserve"> SEQ Figure \* ARABIC </w:instrText>
      </w:r>
      <w:r>
        <w:fldChar w:fldCharType="separate"/>
      </w:r>
      <w:r>
        <w:t>23</w:t>
      </w:r>
      <w:r>
        <w:fldChar w:fldCharType="end"/>
      </w:r>
      <w:bookmarkStart w:id="64" w:name="_Toc4159"/>
      <w:r>
        <w:t>: Yearly RainfallTrend (Downscaled)</w:t>
      </w:r>
      <w:bookmarkEnd w:id="64"/>
    </w:p>
    <w:p w14:paraId="61BFC2DF" w14:textId="77777777" w:rsidR="0099599B" w:rsidRDefault="00EB7A3F">
      <w:pPr>
        <w:spacing w:line="360" w:lineRule="auto"/>
      </w:pPr>
      <w:r>
        <w:rPr>
          <w:noProof/>
        </w:rPr>
        <w:drawing>
          <wp:inline distT="0" distB="0" distL="114300" distR="114300" wp14:anchorId="7957AAE0" wp14:editId="33435860">
            <wp:extent cx="5941695" cy="1515110"/>
            <wp:effectExtent l="0" t="0" r="1905" b="8890"/>
            <wp:docPr id="28" name="Picture 28" descr="Precip_Indices_Trend_ADA_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recip_Indices_Trend_ADA_EAST"/>
                    <pic:cNvPicPr>
                      <a:picLocks noChangeAspect="1"/>
                    </pic:cNvPicPr>
                  </pic:nvPicPr>
                  <pic:blipFill>
                    <a:blip r:embed="rId42"/>
                    <a:stretch>
                      <a:fillRect/>
                    </a:stretch>
                  </pic:blipFill>
                  <pic:spPr>
                    <a:xfrm>
                      <a:off x="0" y="0"/>
                      <a:ext cx="5941695" cy="1515110"/>
                    </a:xfrm>
                    <a:prstGeom prst="rect">
                      <a:avLst/>
                    </a:prstGeom>
                  </pic:spPr>
                </pic:pic>
              </a:graphicData>
            </a:graphic>
          </wp:inline>
        </w:drawing>
      </w:r>
    </w:p>
    <w:p w14:paraId="14A3D5A2"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24</w:t>
      </w:r>
      <w:r>
        <w:fldChar w:fldCharType="end"/>
      </w:r>
      <w:bookmarkStart w:id="65" w:name="_Toc5337"/>
      <w:bookmarkStart w:id="66" w:name="_Toc22959"/>
      <w:r>
        <w:t>: Precipitation indices trend (RR, Rx1, Rx5, R20mm, R95p, CDD, CWD, etc.)</w:t>
      </w:r>
      <w:bookmarkEnd w:id="65"/>
      <w:bookmarkEnd w:id="66"/>
    </w:p>
    <w:p w14:paraId="6C475B8D" w14:textId="77777777" w:rsidR="0099599B" w:rsidRDefault="00EB7A3F">
      <w:pPr>
        <w:spacing w:line="360" w:lineRule="auto"/>
      </w:pPr>
      <w:r>
        <w:rPr>
          <w:noProof/>
        </w:rPr>
        <w:lastRenderedPageBreak/>
        <w:drawing>
          <wp:inline distT="0" distB="0" distL="114300" distR="114300" wp14:anchorId="39A21E3C" wp14:editId="1B6EC8F4">
            <wp:extent cx="5943600" cy="1645920"/>
            <wp:effectExtent l="0" t="0" r="0" b="0"/>
            <wp:docPr id="29" name="Picture 29" descr="Precip_Monthly_Trend_ADA_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recip_Monthly_Trend_ADA_EAST"/>
                    <pic:cNvPicPr>
                      <a:picLocks noChangeAspect="1"/>
                    </pic:cNvPicPr>
                  </pic:nvPicPr>
                  <pic:blipFill>
                    <a:blip r:embed="rId43"/>
                    <a:stretch>
                      <a:fillRect/>
                    </a:stretch>
                  </pic:blipFill>
                  <pic:spPr>
                    <a:xfrm>
                      <a:off x="0" y="0"/>
                      <a:ext cx="5943600" cy="1645920"/>
                    </a:xfrm>
                    <a:prstGeom prst="rect">
                      <a:avLst/>
                    </a:prstGeom>
                  </pic:spPr>
                </pic:pic>
              </a:graphicData>
            </a:graphic>
          </wp:inline>
        </w:drawing>
      </w:r>
    </w:p>
    <w:p w14:paraId="089016CE"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25</w:t>
      </w:r>
      <w:r>
        <w:fldChar w:fldCharType="end"/>
      </w:r>
      <w:bookmarkStart w:id="67" w:name="_Toc24521"/>
      <w:bookmarkStart w:id="68" w:name="_Toc31388"/>
      <w:r>
        <w:t>: Monthly cycle of rainfall projections</w:t>
      </w:r>
      <w:bookmarkEnd w:id="67"/>
      <w:bookmarkEnd w:id="68"/>
    </w:p>
    <w:p w14:paraId="1AC78394" w14:textId="77777777" w:rsidR="0099599B" w:rsidRDefault="0099599B">
      <w:pPr>
        <w:spacing w:line="360" w:lineRule="auto"/>
      </w:pPr>
    </w:p>
    <w:p w14:paraId="730F74B8" w14:textId="77777777" w:rsidR="0099599B" w:rsidRDefault="00EB7A3F">
      <w:pPr>
        <w:spacing w:line="360" w:lineRule="auto"/>
        <w:jc w:val="both"/>
      </w:pPr>
      <w:r>
        <w:t xml:space="preserve">Temperature projections indicate a consistent warming trend. Historically, average annual temperatures in Ada East were around 26.5°C. Under SSP2-4.5, warming of 1.5–2.0°C is expected by mid-century, while SSP5-8.5 could lead to increases of up to 3.5–4.0°C by 2100. The frequency of hot days (TX90p) and warm nights (TN90p) is projected to rise significantly, with associated impacts on human health, water resources and crop productivity. Conversely, the number of cool days (TX10p) and cool nights (TN10p) is </w:t>
      </w:r>
      <w:r>
        <w:t>projected to decline sharply, highlighting the dominance of warming extremes.</w:t>
      </w:r>
    </w:p>
    <w:p w14:paraId="32FD9A46" w14:textId="77777777" w:rsidR="0099599B" w:rsidRDefault="00EB7A3F">
      <w:pPr>
        <w:spacing w:line="360" w:lineRule="auto"/>
      </w:pPr>
      <w:r>
        <w:rPr>
          <w:noProof/>
        </w:rPr>
        <w:drawing>
          <wp:inline distT="0" distB="0" distL="114300" distR="114300" wp14:anchorId="041FF45D" wp14:editId="58EE3E58">
            <wp:extent cx="5941695" cy="3504565"/>
            <wp:effectExtent l="0" t="0" r="1905" b="635"/>
            <wp:docPr id="10" name="Picture 10" descr="TEMP_YEARLY_TREND_ADA_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MP_YEARLY_TREND_ADA_EAST"/>
                    <pic:cNvPicPr>
                      <a:picLocks noChangeAspect="1"/>
                    </pic:cNvPicPr>
                  </pic:nvPicPr>
                  <pic:blipFill>
                    <a:blip r:embed="rId44"/>
                    <a:stretch>
                      <a:fillRect/>
                    </a:stretch>
                  </pic:blipFill>
                  <pic:spPr>
                    <a:xfrm>
                      <a:off x="0" y="0"/>
                      <a:ext cx="5941695" cy="3504565"/>
                    </a:xfrm>
                    <a:prstGeom prst="rect">
                      <a:avLst/>
                    </a:prstGeom>
                  </pic:spPr>
                </pic:pic>
              </a:graphicData>
            </a:graphic>
          </wp:inline>
        </w:drawing>
      </w:r>
    </w:p>
    <w:p w14:paraId="46144AC4" w14:textId="77777777" w:rsidR="0099599B" w:rsidRDefault="00EB7A3F">
      <w:pPr>
        <w:pStyle w:val="Caption"/>
        <w:spacing w:line="360" w:lineRule="auto"/>
        <w:rPr>
          <w:rFonts w:cs="Times New Roman"/>
        </w:rPr>
      </w:pPr>
      <w:r>
        <w:lastRenderedPageBreak/>
        <w:t xml:space="preserve">Figure </w:t>
      </w:r>
      <w:r>
        <w:fldChar w:fldCharType="begin"/>
      </w:r>
      <w:r>
        <w:instrText xml:space="preserve"> SEQ Figure \* ARABIC </w:instrText>
      </w:r>
      <w:r>
        <w:fldChar w:fldCharType="separate"/>
      </w:r>
      <w:r>
        <w:t>26</w:t>
      </w:r>
      <w:r>
        <w:fldChar w:fldCharType="end"/>
      </w:r>
      <w:bookmarkStart w:id="69" w:name="_Toc13849"/>
      <w:r>
        <w:rPr>
          <w:rFonts w:cs="Times New Roman"/>
        </w:rPr>
        <w:t>: Yearly Temperature Trend (Downscaled)</w:t>
      </w:r>
      <w:bookmarkEnd w:id="69"/>
    </w:p>
    <w:p w14:paraId="13852B28" w14:textId="77777777" w:rsidR="0099599B" w:rsidRDefault="00EB7A3F">
      <w:pPr>
        <w:spacing w:line="360" w:lineRule="auto"/>
      </w:pPr>
      <w:r>
        <w:rPr>
          <w:noProof/>
        </w:rPr>
        <w:drawing>
          <wp:inline distT="0" distB="0" distL="114300" distR="114300" wp14:anchorId="46DA9667" wp14:editId="4AC8BE7D">
            <wp:extent cx="5943600" cy="1883410"/>
            <wp:effectExtent l="0" t="0" r="0" b="6350"/>
            <wp:docPr id="31" name="Picture 31" descr="TEMP_MONTHLY_TREND_ADA_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MP_MONTHLY_TREND_ADA_EAST"/>
                    <pic:cNvPicPr>
                      <a:picLocks noChangeAspect="1"/>
                    </pic:cNvPicPr>
                  </pic:nvPicPr>
                  <pic:blipFill>
                    <a:blip r:embed="rId45"/>
                    <a:stretch>
                      <a:fillRect/>
                    </a:stretch>
                  </pic:blipFill>
                  <pic:spPr>
                    <a:xfrm>
                      <a:off x="0" y="0"/>
                      <a:ext cx="5943600" cy="1883410"/>
                    </a:xfrm>
                    <a:prstGeom prst="rect">
                      <a:avLst/>
                    </a:prstGeom>
                  </pic:spPr>
                </pic:pic>
              </a:graphicData>
            </a:graphic>
          </wp:inline>
        </w:drawing>
      </w:r>
    </w:p>
    <w:p w14:paraId="76D54ADC" w14:textId="77777777" w:rsidR="0099599B" w:rsidRDefault="00EB7A3F">
      <w:pPr>
        <w:pStyle w:val="Caption"/>
        <w:spacing w:line="360" w:lineRule="auto"/>
      </w:pPr>
      <w:bookmarkStart w:id="70" w:name="_Toc2367"/>
      <w:r>
        <w:t xml:space="preserve">Figure </w:t>
      </w:r>
      <w:r>
        <w:fldChar w:fldCharType="begin"/>
      </w:r>
      <w:r>
        <w:instrText xml:space="preserve"> SEQ Figure \* ARABIC </w:instrText>
      </w:r>
      <w:r>
        <w:fldChar w:fldCharType="separate"/>
      </w:r>
      <w:r>
        <w:t>27</w:t>
      </w:r>
      <w:r>
        <w:fldChar w:fldCharType="end"/>
      </w:r>
      <w:bookmarkStart w:id="71" w:name="_Toc32445"/>
      <w:r>
        <w:t>: Monthly cycle of temperature projections</w:t>
      </w:r>
      <w:bookmarkEnd w:id="70"/>
      <w:bookmarkEnd w:id="71"/>
    </w:p>
    <w:p w14:paraId="6FA5D600" w14:textId="77777777" w:rsidR="0099599B" w:rsidRDefault="00EB7A3F">
      <w:pPr>
        <w:spacing w:line="360" w:lineRule="auto"/>
      </w:pPr>
      <w:r>
        <w:rPr>
          <w:noProof/>
        </w:rPr>
        <w:drawing>
          <wp:inline distT="0" distB="0" distL="114300" distR="114300" wp14:anchorId="1240AFC8" wp14:editId="56A4547C">
            <wp:extent cx="5941695" cy="1786255"/>
            <wp:effectExtent l="0" t="0" r="1905" b="12065"/>
            <wp:docPr id="32" name="Picture 32" descr="Temp_Indices_Trend_ADA_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mp_Indices_Trend_ADA_EAST"/>
                    <pic:cNvPicPr>
                      <a:picLocks noChangeAspect="1"/>
                    </pic:cNvPicPr>
                  </pic:nvPicPr>
                  <pic:blipFill>
                    <a:blip r:embed="rId46"/>
                    <a:stretch>
                      <a:fillRect/>
                    </a:stretch>
                  </pic:blipFill>
                  <pic:spPr>
                    <a:xfrm>
                      <a:off x="0" y="0"/>
                      <a:ext cx="5941695" cy="1786255"/>
                    </a:xfrm>
                    <a:prstGeom prst="rect">
                      <a:avLst/>
                    </a:prstGeom>
                  </pic:spPr>
                </pic:pic>
              </a:graphicData>
            </a:graphic>
          </wp:inline>
        </w:drawing>
      </w:r>
    </w:p>
    <w:p w14:paraId="480FB669" w14:textId="77777777" w:rsidR="0099599B" w:rsidRDefault="00EB7A3F">
      <w:pPr>
        <w:pStyle w:val="Caption"/>
        <w:spacing w:line="360" w:lineRule="auto"/>
      </w:pPr>
      <w:r>
        <w:t xml:space="preserve">Figure </w:t>
      </w:r>
      <w:r>
        <w:fldChar w:fldCharType="begin"/>
      </w:r>
      <w:r>
        <w:instrText xml:space="preserve"> SEQ Figure \* ARABIC </w:instrText>
      </w:r>
      <w:r>
        <w:fldChar w:fldCharType="separate"/>
      </w:r>
      <w:r>
        <w:t>28</w:t>
      </w:r>
      <w:r>
        <w:fldChar w:fldCharType="end"/>
      </w:r>
      <w:bookmarkStart w:id="72" w:name="_Toc18156"/>
      <w:bookmarkStart w:id="73" w:name="_Toc30808"/>
      <w:r>
        <w:t>: Temperature indices (TX90p, TX10p, TN90p, TN10p, DTR)</w:t>
      </w:r>
      <w:bookmarkEnd w:id="72"/>
      <w:bookmarkEnd w:id="73"/>
    </w:p>
    <w:p w14:paraId="1DD5B017" w14:textId="77777777" w:rsidR="0099599B" w:rsidRDefault="0099599B">
      <w:pPr>
        <w:spacing w:line="360" w:lineRule="auto"/>
      </w:pPr>
    </w:p>
    <w:p w14:paraId="29D122F2" w14:textId="77777777" w:rsidR="0099599B" w:rsidRDefault="0099599B">
      <w:pPr>
        <w:spacing w:line="360" w:lineRule="auto"/>
      </w:pPr>
    </w:p>
    <w:p w14:paraId="5736676B" w14:textId="77777777" w:rsidR="0099599B" w:rsidRDefault="00EB7A3F">
      <w:pPr>
        <w:pStyle w:val="Heading3"/>
        <w:spacing w:line="360" w:lineRule="auto"/>
        <w:rPr>
          <w:rFonts w:ascii="Times New Roman" w:hAnsi="Times New Roman" w:cs="Times New Roman"/>
        </w:rPr>
      </w:pPr>
      <w:r>
        <w:rPr>
          <w:rFonts w:ascii="Times New Roman" w:hAnsi="Times New Roman" w:cs="Times New Roman"/>
        </w:rPr>
        <w:t>4.1.5 Summary of Climate Change Projections</w:t>
      </w:r>
      <w:r>
        <w:rPr>
          <w:rFonts w:ascii="Times New Roman" w:hAnsi="Times New Roman" w:cs="Times New Roman"/>
        </w:rPr>
        <w:tab/>
      </w:r>
    </w:p>
    <w:p w14:paraId="5D2A54FA" w14:textId="77777777" w:rsidR="0099599B" w:rsidRDefault="00EB7A3F">
      <w:pPr>
        <w:spacing w:line="360" w:lineRule="auto"/>
        <w:jc w:val="both"/>
      </w:pPr>
      <w:r>
        <w:t>Overall, Ada East District faces a future marked by rising temperatures, more frequent heat extremes, and increasingly variable rainfall patterns. While total rainfall may not decline significantly, its distribution is expected to become more erratic, increasing the risk of both intense flooding and prolonged dry spells. Sea-level rise and tidal influences will further exacerbate these hazards, particularly in coastal and low-lying communities. The combined effects of hotter conditions and unpredictable rai</w:t>
      </w:r>
      <w:r>
        <w:t xml:space="preserve">nfall are likely to impact agriculture, fisheries, health, and water security. Adaptation planning for Ada East must therefore prioritize climate-resilient infrastructure, </w:t>
      </w:r>
      <w:r>
        <w:lastRenderedPageBreak/>
        <w:t>enhanced water management, and livelihood diversification, while explicitly addressing the gendered dimensions of climate vulnerability.</w:t>
      </w:r>
    </w:p>
    <w:p w14:paraId="3C0AE43F" w14:textId="77777777" w:rsidR="0099599B" w:rsidRDefault="0099599B">
      <w:pPr>
        <w:spacing w:line="360" w:lineRule="auto"/>
      </w:pPr>
    </w:p>
    <w:p w14:paraId="08E30E2C" w14:textId="77777777" w:rsidR="0099599B" w:rsidRDefault="00EB7A3F">
      <w:pPr>
        <w:pStyle w:val="Heading2"/>
        <w:spacing w:line="360" w:lineRule="auto"/>
      </w:pPr>
      <w:bookmarkStart w:id="74" w:name="_Toc25350"/>
      <w:r>
        <w:t>4.2 Potential Impacts and Future Climate Change Risk</w:t>
      </w:r>
      <w:bookmarkEnd w:id="74"/>
      <w:r>
        <w:tab/>
      </w:r>
    </w:p>
    <w:p w14:paraId="09A353D4" w14:textId="77777777" w:rsidR="0099599B" w:rsidRDefault="00EB7A3F">
      <w:pPr>
        <w:spacing w:line="360" w:lineRule="auto"/>
        <w:jc w:val="both"/>
        <w:rPr>
          <w:rFonts w:eastAsia="Times New Roman"/>
          <w:lang w:eastAsia="en-GB"/>
        </w:rPr>
      </w:pPr>
      <w:r>
        <w:rPr>
          <w:rFonts w:eastAsia="Times New Roman"/>
          <w:lang w:eastAsia="en-GB"/>
        </w:rPr>
        <w:t>Ada East faces significant climate risks across multiple sectors, driven by rising temperatures, erratic rainfall, and sea-level rise. Key priority risk domains include agriculture and food security, water resources, coastal ecosystems, health, infrastructure, and the dual threats of flooding and drought, which are expected to intensify under climate change.</w:t>
      </w:r>
    </w:p>
    <w:p w14:paraId="59D39513" w14:textId="77777777" w:rsidR="0099599B" w:rsidRDefault="00EB7A3F">
      <w:pPr>
        <w:spacing w:line="360" w:lineRule="auto"/>
        <w:jc w:val="both"/>
        <w:rPr>
          <w:rFonts w:ascii="Times New Roman Bold" w:eastAsia="Times New Roman" w:hAnsi="Times New Roman Bold" w:cs="Times New Roman Bold"/>
          <w:b/>
          <w:bCs/>
          <w:lang w:eastAsia="en-GB"/>
        </w:rPr>
      </w:pPr>
      <w:r>
        <w:rPr>
          <w:rFonts w:ascii="Times New Roman Bold" w:eastAsia="Times New Roman" w:hAnsi="Times New Roman Bold" w:cs="Times New Roman Bold"/>
          <w:b/>
          <w:bCs/>
          <w:lang w:eastAsia="en-GB"/>
        </w:rPr>
        <w:t>4.2.1 Agriculture</w:t>
      </w:r>
    </w:p>
    <w:p w14:paraId="250AE86C" w14:textId="77777777" w:rsidR="0099599B" w:rsidRDefault="00EB7A3F">
      <w:pPr>
        <w:spacing w:line="360" w:lineRule="auto"/>
        <w:jc w:val="both"/>
        <w:rPr>
          <w:rFonts w:eastAsia="Times New Roman"/>
          <w:lang w:eastAsia="en-GB"/>
        </w:rPr>
      </w:pPr>
      <w:r>
        <w:rPr>
          <w:rFonts w:eastAsia="Times New Roman"/>
          <w:lang w:eastAsia="en-GB"/>
        </w:rPr>
        <w:t>Agriculture in Ada East is highly vulnerable due to its dependence on rain-fed systems. Erratic rainfall, delayed onset, early cessation, and prolonged dry spells disrupt growing seasons for staple crops such as maize, cassava, and vegetables. Rising temperatures further reduce yields, exacerbating food insecurity and economic instability (EPA, 2021). Sea-level rise and intensified rainfall increase flooding and saltwater intrusion, degrading soil quality and reducing fertility. Salinization alters microbia</w:t>
      </w:r>
      <w:r>
        <w:rPr>
          <w:rFonts w:eastAsia="Times New Roman"/>
          <w:lang w:eastAsia="en-GB"/>
        </w:rPr>
        <w:t>l activity, soil enzyme function, and greenhouse gas emissions, with severe salinity potentially reducing crop yields by up to 58% (Haj-Amor et al., 2022; Xiao et al., 2021). Prolonged heat and humidity also encourage pest and disease outbreaks, increasing pesticide use and production costs (Ankrah, 2024). Overall, these factors combine to threaten agricultural productivity and household food security.</w:t>
      </w:r>
    </w:p>
    <w:p w14:paraId="2E834E01" w14:textId="77777777" w:rsidR="0099599B" w:rsidRDefault="00EB7A3F">
      <w:pPr>
        <w:spacing w:line="360" w:lineRule="auto"/>
        <w:jc w:val="both"/>
        <w:rPr>
          <w:rFonts w:ascii="Times New Roman Bold" w:eastAsia="Times New Roman" w:hAnsi="Times New Roman Bold" w:cs="Times New Roman Bold"/>
          <w:b/>
          <w:bCs/>
          <w:lang w:eastAsia="en-GB"/>
        </w:rPr>
      </w:pPr>
      <w:r>
        <w:rPr>
          <w:rFonts w:ascii="Times New Roman Bold" w:eastAsia="Times New Roman" w:hAnsi="Times New Roman Bold" w:cs="Times New Roman Bold"/>
          <w:b/>
          <w:bCs/>
          <w:lang w:eastAsia="en-GB"/>
        </w:rPr>
        <w:t>4.2.2 Water Resources</w:t>
      </w:r>
    </w:p>
    <w:p w14:paraId="7E543CE0" w14:textId="77777777" w:rsidR="0099599B" w:rsidRDefault="00EB7A3F">
      <w:pPr>
        <w:spacing w:line="360" w:lineRule="auto"/>
        <w:jc w:val="both"/>
        <w:rPr>
          <w:rFonts w:eastAsia="Times New Roman"/>
          <w:lang w:eastAsia="en-GB"/>
        </w:rPr>
      </w:pPr>
      <w:r>
        <w:rPr>
          <w:rFonts w:eastAsia="Times New Roman"/>
          <w:lang w:eastAsia="en-GB"/>
        </w:rPr>
        <w:t>Water availability in Ada East is under increasing pressure from drought, flooding, and saltwater intrusion. Dry spells reduce surface and groundwater, while intense rainfall contaminates water supplies and strains sanitation systems (Ghana Meteorological Agency, 2020). Coastal saltwater intrusion further compromises potable water, raising treatment costs. Inland communities face over-extraction and drying wells, while coastal fishing and agricultural communities report declining water quality affecting irr</w:t>
      </w:r>
      <w:r>
        <w:rPr>
          <w:rFonts w:eastAsia="Times New Roman"/>
          <w:lang w:eastAsia="en-GB"/>
        </w:rPr>
        <w:t>igation and livelihoods (Sarku, 2023; Mattah et al., 2024).</w:t>
      </w:r>
    </w:p>
    <w:p w14:paraId="00B04647" w14:textId="77777777" w:rsidR="0099599B" w:rsidRDefault="00EB7A3F">
      <w:pPr>
        <w:spacing w:line="360" w:lineRule="auto"/>
        <w:jc w:val="both"/>
        <w:rPr>
          <w:rFonts w:ascii="Times New Roman Bold" w:eastAsia="Times New Roman" w:hAnsi="Times New Roman Bold" w:cs="Times New Roman Bold"/>
          <w:b/>
          <w:bCs/>
          <w:lang w:eastAsia="en-GB"/>
        </w:rPr>
      </w:pPr>
      <w:r>
        <w:rPr>
          <w:rFonts w:ascii="Times New Roman Bold" w:eastAsia="Times New Roman" w:hAnsi="Times New Roman Bold" w:cs="Times New Roman Bold"/>
          <w:b/>
          <w:bCs/>
          <w:lang w:eastAsia="en-GB"/>
        </w:rPr>
        <w:t>4.2.3 Human Health</w:t>
      </w:r>
    </w:p>
    <w:p w14:paraId="0584D0A9" w14:textId="77777777" w:rsidR="0099599B" w:rsidRDefault="00EB7A3F">
      <w:pPr>
        <w:spacing w:line="360" w:lineRule="auto"/>
        <w:jc w:val="both"/>
        <w:rPr>
          <w:rFonts w:eastAsia="Times New Roman"/>
          <w:lang w:eastAsia="en-GB"/>
        </w:rPr>
      </w:pPr>
      <w:r>
        <w:rPr>
          <w:rFonts w:eastAsia="Times New Roman"/>
          <w:lang w:eastAsia="en-GB"/>
        </w:rPr>
        <w:lastRenderedPageBreak/>
        <w:t>Flooding and drought pose significant health risks. Floods contaminate water sources, spreading cholera, diarrhoea, and other waterborne diseases (Ministry of Health, 2020; Hussey &amp; Arku, 2019). Drought reduces water for hygiene, increasing risks of typhoid and malaria. Rising temperatures and humidity facilitate vector-borne diseases such as malaria and dengue (Chandra &amp; Mukherjee, 2021; Tidman et al., 2021). Climate impacts on food production exacerbate malnutrition, particularly among vulnerable groups l</w:t>
      </w:r>
      <w:r>
        <w:rPr>
          <w:rFonts w:eastAsia="Times New Roman"/>
          <w:lang w:eastAsia="en-GB"/>
        </w:rPr>
        <w:t>ike children, the elderly, and outdoor workers (Mekonnen et al., 2021; Issahaku et al., 2023).</w:t>
      </w:r>
    </w:p>
    <w:p w14:paraId="5345A615" w14:textId="77777777" w:rsidR="0099599B" w:rsidRDefault="00EB7A3F">
      <w:pPr>
        <w:spacing w:line="360" w:lineRule="auto"/>
        <w:jc w:val="both"/>
        <w:rPr>
          <w:rFonts w:ascii="Times New Roman Bold" w:eastAsia="Times New Roman" w:hAnsi="Times New Roman Bold" w:cs="Times New Roman Bold"/>
          <w:b/>
          <w:bCs/>
          <w:lang w:eastAsia="en-GB"/>
        </w:rPr>
      </w:pPr>
      <w:r>
        <w:rPr>
          <w:rFonts w:ascii="Times New Roman Bold" w:eastAsia="Times New Roman" w:hAnsi="Times New Roman Bold" w:cs="Times New Roman Bold"/>
          <w:b/>
          <w:bCs/>
          <w:lang w:eastAsia="en-GB"/>
        </w:rPr>
        <w:t>4.2.4 Infrastructure</w:t>
      </w:r>
    </w:p>
    <w:p w14:paraId="32014BEE" w14:textId="77777777" w:rsidR="0099599B" w:rsidRDefault="00EB7A3F">
      <w:pPr>
        <w:spacing w:line="360" w:lineRule="auto"/>
        <w:jc w:val="both"/>
        <w:rPr>
          <w:rFonts w:eastAsia="Times New Roman"/>
          <w:lang w:eastAsia="en-GB"/>
        </w:rPr>
      </w:pPr>
      <w:r>
        <w:rPr>
          <w:rFonts w:eastAsia="Times New Roman"/>
          <w:lang w:eastAsia="en-GB"/>
        </w:rPr>
        <w:t>Ada East’s low-lying geography and coastal position expose infrastructure to floods, erosion, and sea-level rise. Roads, bridges, homes, schools, and health facilities are increasingly at risk, particularly in areas like Big Ada and Ada Foah (Tumawu et al., 2024; EPA, 2021). Drought further stresses water supply systems, undermining urban and agricultural infrastructure. These combined impacts disrupt mobility, service delivery, and local economies, forcing coping strategies such as temporary migration.</w:t>
      </w:r>
    </w:p>
    <w:p w14:paraId="76CAAAF2" w14:textId="77777777" w:rsidR="0099599B" w:rsidRDefault="00EB7A3F">
      <w:pPr>
        <w:spacing w:line="360" w:lineRule="auto"/>
        <w:jc w:val="both"/>
        <w:rPr>
          <w:rFonts w:ascii="Times New Roman Bold" w:eastAsia="Times New Roman" w:hAnsi="Times New Roman Bold" w:cs="Times New Roman Bold"/>
          <w:b/>
          <w:bCs/>
          <w:lang w:eastAsia="en-GB"/>
        </w:rPr>
      </w:pPr>
      <w:r>
        <w:rPr>
          <w:rFonts w:ascii="Times New Roman Bold" w:eastAsia="Times New Roman" w:hAnsi="Times New Roman Bold" w:cs="Times New Roman Bold"/>
          <w:b/>
          <w:bCs/>
          <w:lang w:eastAsia="en-GB"/>
        </w:rPr>
        <w:t>4.2.5 Forestry and Biodiversity</w:t>
      </w:r>
    </w:p>
    <w:p w14:paraId="580CFCAD" w14:textId="77777777" w:rsidR="0099599B" w:rsidRDefault="00EB7A3F">
      <w:pPr>
        <w:spacing w:line="360" w:lineRule="auto"/>
        <w:jc w:val="both"/>
        <w:rPr>
          <w:rFonts w:eastAsia="Times New Roman"/>
          <w:lang w:eastAsia="en-GB"/>
        </w:rPr>
      </w:pPr>
      <w:r>
        <w:rPr>
          <w:rFonts w:eastAsia="Times New Roman"/>
          <w:lang w:eastAsia="en-GB"/>
        </w:rPr>
        <w:t>Forests and aquatic ecosystems are critical for livelihoods and climate buffering but are under pressure from rising temperatures, droughts, and tidal surges. Mangrove forests along the Songor Lagoon and Volta estuary protect against coastal erosion and provide fish breeding grounds, yet are rapidly degrading due to fuelwood harvesting, charcoal production, and unregulated land use. Rising salinity and extreme weather hinder regeneration, while vegetation loss reduces carbon sequestration, ecosystem service</w:t>
      </w:r>
      <w:r>
        <w:rPr>
          <w:rFonts w:eastAsia="Times New Roman"/>
          <w:lang w:eastAsia="en-GB"/>
        </w:rPr>
        <w:t>s, and biodiversity. Declining fish and crab stocks compromise food security and incomes, while limited restoration initiatives remain insufficient to counter ecosystem degradation.</w:t>
      </w:r>
    </w:p>
    <w:p w14:paraId="05464EF2" w14:textId="77777777" w:rsidR="0099599B" w:rsidRDefault="00EB7A3F">
      <w:pPr>
        <w:spacing w:line="360" w:lineRule="auto"/>
        <w:jc w:val="both"/>
        <w:rPr>
          <w:rFonts w:ascii="Times New Roman Bold" w:eastAsia="Times New Roman" w:hAnsi="Times New Roman Bold" w:cs="Times New Roman Bold"/>
          <w:b/>
          <w:bCs/>
          <w:lang w:eastAsia="en-GB"/>
        </w:rPr>
      </w:pPr>
      <w:r>
        <w:rPr>
          <w:rFonts w:ascii="Times New Roman Bold" w:eastAsia="Times New Roman" w:hAnsi="Times New Roman Bold" w:cs="Times New Roman Bold"/>
          <w:b/>
          <w:bCs/>
          <w:lang w:eastAsia="en-GB"/>
        </w:rPr>
        <w:t>4.2.6 Gendered Vulnerability</w:t>
      </w:r>
    </w:p>
    <w:p w14:paraId="754F4213" w14:textId="77777777" w:rsidR="0099599B" w:rsidRDefault="00EB7A3F">
      <w:pPr>
        <w:spacing w:line="360" w:lineRule="auto"/>
        <w:jc w:val="both"/>
        <w:rPr>
          <w:rFonts w:eastAsia="Times New Roman"/>
          <w:lang w:eastAsia="en-GB"/>
        </w:rPr>
      </w:pPr>
      <w:r>
        <w:rPr>
          <w:rFonts w:eastAsia="Times New Roman"/>
          <w:lang w:eastAsia="en-GB"/>
        </w:rPr>
        <w:t xml:space="preserve">Gender dynamics significantly shape climate vulnerability in Ada East. Women play central roles in agriculture, water collection, and fish processing but face disproportionate risks due to limited decision-making power, restricted access to credit, and minimal institutional support. Floods and saltwater intrusion directly impact women’s livelihoods, while water scarcity and increased caregiving responsibilities reduce time for economic activities or education, particularly for young </w:t>
      </w:r>
      <w:r>
        <w:rPr>
          <w:rFonts w:eastAsia="Times New Roman"/>
          <w:lang w:eastAsia="en-GB"/>
        </w:rPr>
        <w:lastRenderedPageBreak/>
        <w:t>girls. Women’s exclusion from adaptation planning limits the integration of their knowledge and needs, weakening household and community resilience.</w:t>
      </w:r>
    </w:p>
    <w:p w14:paraId="7CA6BA86" w14:textId="77777777" w:rsidR="0099599B" w:rsidRDefault="00EB7A3F">
      <w:pPr>
        <w:spacing w:line="360" w:lineRule="auto"/>
        <w:jc w:val="both"/>
        <w:rPr>
          <w:lang w:eastAsia="en-GB"/>
        </w:rPr>
      </w:pPr>
      <w:r>
        <w:rPr>
          <w:rFonts w:eastAsia="Times New Roman"/>
          <w:lang w:eastAsia="en-GB"/>
        </w:rPr>
        <w:t>Climate change in Ada East will disproportionately affect coastal and low-lying communities, rain-fed farmers, and women due to intersecting environmental, economic, and social vulnerabilities. Effective adaptation requires integrated strategies, including climate-resilient infrastructure, improved water and sanitation management, ecosystem restoration, livelihood diversification, and gender-responsive policies to strengthen adaptive capacity and reduce inequities across sectors and populations.</w:t>
      </w:r>
    </w:p>
    <w:p w14:paraId="234EAEFA" w14:textId="77777777" w:rsidR="0099599B" w:rsidRDefault="0099599B">
      <w:pPr>
        <w:spacing w:line="360" w:lineRule="auto"/>
      </w:pPr>
    </w:p>
    <w:p w14:paraId="1C9B6FE2" w14:textId="77777777" w:rsidR="0099599B" w:rsidRDefault="00EB7A3F">
      <w:pPr>
        <w:spacing w:line="360" w:lineRule="auto"/>
      </w:pPr>
      <w:r>
        <w:br w:type="page"/>
      </w:r>
    </w:p>
    <w:p w14:paraId="121FFA62" w14:textId="77777777" w:rsidR="0099599B" w:rsidRDefault="00EB7A3F">
      <w:pPr>
        <w:pStyle w:val="Heading1"/>
        <w:spacing w:line="360" w:lineRule="auto"/>
      </w:pPr>
      <w:bookmarkStart w:id="75" w:name="_Toc8217"/>
      <w:r>
        <w:lastRenderedPageBreak/>
        <w:t>CHAPTER 5 – IMPLICATIONS FOR ADAPTATION PLANNING</w:t>
      </w:r>
      <w:bookmarkEnd w:id="75"/>
      <w:r>
        <w:tab/>
      </w:r>
    </w:p>
    <w:p w14:paraId="6FD54DCD" w14:textId="77777777" w:rsidR="0099599B" w:rsidRDefault="00EB7A3F">
      <w:pPr>
        <w:pStyle w:val="Heading2"/>
        <w:spacing w:line="360" w:lineRule="auto"/>
      </w:pPr>
      <w:bookmarkStart w:id="76" w:name="_Toc30864"/>
      <w:r>
        <w:t>5.1 Introduction</w:t>
      </w:r>
      <w:bookmarkEnd w:id="76"/>
      <w:r>
        <w:tab/>
      </w:r>
    </w:p>
    <w:p w14:paraId="6516A742" w14:textId="77777777" w:rsidR="0099599B" w:rsidRDefault="00EB7A3F">
      <w:pPr>
        <w:spacing w:line="360" w:lineRule="auto"/>
        <w:jc w:val="both"/>
        <w:rPr>
          <w:lang w:eastAsia="en-GB"/>
        </w:rPr>
      </w:pPr>
      <w:r>
        <w:rPr>
          <w:lang w:eastAsia="en-GB"/>
        </w:rPr>
        <w:t>The results of the vulnerability and risk assessment for Ada East highlight the urgency of developing a robust, gender-responsive and community-driven adaptation strategy. Climate hazards in the district including flooding, tidal surges, saltwater intrusion and drought, intersect with socio-economic conditions such as poverty, weak infrastructure and limited institutional capacity, creating multi-layered vulnerabilities. Effective adaptation planning must therefore move beyond sectoral responses to adopt an</w:t>
      </w:r>
      <w:r>
        <w:rPr>
          <w:lang w:eastAsia="en-GB"/>
        </w:rPr>
        <w:t xml:space="preserve"> integrated approach that addresses systemic risks, strengthens adaptive capacity and ensures social inclusion.</w:t>
      </w:r>
    </w:p>
    <w:p w14:paraId="311B7D7F" w14:textId="77777777" w:rsidR="0099599B" w:rsidRDefault="00EB7A3F">
      <w:pPr>
        <w:spacing w:line="360" w:lineRule="auto"/>
        <w:jc w:val="both"/>
        <w:rPr>
          <w:b/>
          <w:bCs/>
          <w:color w:val="A02B93" w:themeColor="accent5"/>
          <w:lang w:eastAsia="en-GB"/>
        </w:rPr>
      </w:pPr>
      <w:r>
        <w:rPr>
          <w:b/>
          <w:bCs/>
          <w:color w:val="A02B93" w:themeColor="accent5"/>
          <w:lang w:eastAsia="en-GB"/>
        </w:rPr>
        <w:t>Strengthening Climate-Resilient Livelihoods</w:t>
      </w:r>
    </w:p>
    <w:p w14:paraId="06AA47E8" w14:textId="77777777" w:rsidR="0099599B" w:rsidRDefault="00EB7A3F">
      <w:pPr>
        <w:spacing w:line="360" w:lineRule="auto"/>
        <w:jc w:val="both"/>
        <w:rPr>
          <w:lang w:eastAsia="en-GB"/>
        </w:rPr>
      </w:pPr>
      <w:r>
        <w:rPr>
          <w:lang w:eastAsia="en-GB"/>
        </w:rPr>
        <w:t>Agriculture, fisheries and salt mining, the backbone of Ada East’s economy, are highly climate-sensitive. Flooding and tidal surges damage farmlands, while saltwater intrusion undermines crop productivity and freshwater availability. Similarly, declining fish stocks linked to changing tidal regimes directly threaten food security and incomes. Adaptation planning should prioritize climate-smart agriculture, including drought-tolerant crop varieties, improved irrigation systems and soil conservation measures.</w:t>
      </w:r>
      <w:r>
        <w:rPr>
          <w:lang w:eastAsia="en-GB"/>
        </w:rPr>
        <w:t xml:space="preserve"> For fisheries, sustainable resource management, aquaculture diversification and investment in fish processing infrastructure will reduce sensitivity to climatic shocks. Salt mining requires improved water management systems and early warning mechanisms to mitigate losses from unseasonal rains.</w:t>
      </w:r>
    </w:p>
    <w:p w14:paraId="4D954FCB" w14:textId="77777777" w:rsidR="0099599B" w:rsidRDefault="00EB7A3F">
      <w:pPr>
        <w:spacing w:line="360" w:lineRule="auto"/>
        <w:jc w:val="both"/>
        <w:rPr>
          <w:b/>
          <w:bCs/>
          <w:color w:val="A02B93" w:themeColor="accent5"/>
          <w:lang w:eastAsia="en-GB"/>
        </w:rPr>
      </w:pPr>
      <w:r>
        <w:rPr>
          <w:b/>
          <w:bCs/>
          <w:color w:val="A02B93" w:themeColor="accent5"/>
          <w:lang w:eastAsia="en-GB"/>
        </w:rPr>
        <w:t>Addressing Water Insecurity</w:t>
      </w:r>
    </w:p>
    <w:p w14:paraId="742307A5" w14:textId="77777777" w:rsidR="0099599B" w:rsidRDefault="00EB7A3F">
      <w:pPr>
        <w:spacing w:line="360" w:lineRule="auto"/>
        <w:jc w:val="both"/>
        <w:rPr>
          <w:lang w:eastAsia="en-GB"/>
        </w:rPr>
      </w:pPr>
      <w:r>
        <w:rPr>
          <w:lang w:eastAsia="en-GB"/>
        </w:rPr>
        <w:t>Survey findings showed that significant proportions of communies in Ada East struggle with accessing potable water, with many communities spending significant amounts on water due to scarcity and saline intrusion. Adaptation planning must therefore prioritize water security through investments in safe water supply infrastructure, expansion of the District Water Supply Scheme and rainwater harvesting systems. Integrating climate projections into water resource management will be essential for balancing domes</w:t>
      </w:r>
      <w:r>
        <w:rPr>
          <w:lang w:eastAsia="en-GB"/>
        </w:rPr>
        <w:t>tic, agricultural and industrial demands.</w:t>
      </w:r>
    </w:p>
    <w:p w14:paraId="7EE92A2B" w14:textId="77777777" w:rsidR="0099599B" w:rsidRDefault="00EB7A3F">
      <w:pPr>
        <w:spacing w:line="360" w:lineRule="auto"/>
        <w:jc w:val="both"/>
        <w:rPr>
          <w:lang w:eastAsia="en-GB"/>
        </w:rPr>
      </w:pPr>
      <w:r>
        <w:rPr>
          <w:b/>
          <w:bCs/>
          <w:color w:val="A02B93" w:themeColor="accent5"/>
          <w:lang w:eastAsia="en-GB"/>
        </w:rPr>
        <w:lastRenderedPageBreak/>
        <w:t>Building Climate-Resilient Infrastructure</w:t>
      </w:r>
    </w:p>
    <w:p w14:paraId="52039CBF" w14:textId="77777777" w:rsidR="0099599B" w:rsidRDefault="00EB7A3F">
      <w:pPr>
        <w:spacing w:line="360" w:lineRule="auto"/>
        <w:jc w:val="both"/>
        <w:rPr>
          <w:lang w:eastAsia="en-GB"/>
        </w:rPr>
      </w:pPr>
      <w:r>
        <w:rPr>
          <w:lang w:eastAsia="en-GB"/>
        </w:rPr>
        <w:t>Poor drainage systems, weak sea defenses and unregulated construction in flood-prone zones are compounding climate risks in Ada East. Coastal erosion has already claimed over 120 hectares of land, while flooding has displaced thousands of residents in recent years. Adaptation strategies should focus on completing and maintaining sea defense projects, upgrading drainage networks and enforcing land-use planning regulations. Infrastructure investments should incorporate climate risk screening to ensure long-te</w:t>
      </w:r>
      <w:r>
        <w:rPr>
          <w:lang w:eastAsia="en-GB"/>
        </w:rPr>
        <w:t>rm resilience of roads, schools, markets and health facilities.</w:t>
      </w:r>
    </w:p>
    <w:p w14:paraId="6FA11F3B" w14:textId="77777777" w:rsidR="0099599B" w:rsidRDefault="00EB7A3F">
      <w:pPr>
        <w:spacing w:line="360" w:lineRule="auto"/>
        <w:jc w:val="both"/>
        <w:rPr>
          <w:b/>
          <w:bCs/>
          <w:color w:val="A02B93" w:themeColor="accent5"/>
          <w:lang w:eastAsia="en-GB"/>
        </w:rPr>
      </w:pPr>
      <w:r>
        <w:rPr>
          <w:b/>
          <w:bCs/>
          <w:color w:val="A02B93" w:themeColor="accent5"/>
          <w:lang w:eastAsia="en-GB"/>
        </w:rPr>
        <w:t>Enhancing Public Health Preparedness</w:t>
      </w:r>
    </w:p>
    <w:p w14:paraId="1337FE17" w14:textId="77777777" w:rsidR="0099599B" w:rsidRDefault="00EB7A3F">
      <w:pPr>
        <w:spacing w:line="360" w:lineRule="auto"/>
        <w:jc w:val="both"/>
        <w:rPr>
          <w:lang w:eastAsia="en-GB"/>
        </w:rPr>
      </w:pPr>
      <w:r>
        <w:rPr>
          <w:lang w:eastAsia="en-GB"/>
        </w:rPr>
        <w:t>Floods and stagnant waters have triggered recurrent outbreaks of cholera, malaria and typhoid, stretching the limited capacity of local health facilities. Adaptation planning must invest in disease surveillance systems, climate-sensitive health infrastructure and WASH (Water, Sanitation and Hygiene) programs. Community-based awareness campaigns, early warning for disease outbreaks and improved sanitation facilities, especially in coastal settlements without toilets will help reduce health sensitivity.</w:t>
      </w:r>
    </w:p>
    <w:p w14:paraId="661B824F" w14:textId="77777777" w:rsidR="0099599B" w:rsidRDefault="00EB7A3F">
      <w:pPr>
        <w:spacing w:line="360" w:lineRule="auto"/>
        <w:jc w:val="both"/>
        <w:rPr>
          <w:b/>
          <w:bCs/>
          <w:color w:val="A02B93" w:themeColor="accent5"/>
          <w:lang w:eastAsia="en-GB"/>
        </w:rPr>
      </w:pPr>
      <w:r>
        <w:rPr>
          <w:b/>
          <w:bCs/>
          <w:color w:val="A02B93" w:themeColor="accent5"/>
          <w:lang w:eastAsia="en-GB"/>
        </w:rPr>
        <w:t>Promoting Ecosystem-Based Adaptation</w:t>
      </w:r>
    </w:p>
    <w:p w14:paraId="4862F541" w14:textId="77777777" w:rsidR="0099599B" w:rsidRDefault="00EB7A3F">
      <w:pPr>
        <w:spacing w:line="360" w:lineRule="auto"/>
        <w:jc w:val="both"/>
        <w:rPr>
          <w:lang w:eastAsia="en-GB"/>
        </w:rPr>
      </w:pPr>
      <w:r>
        <w:rPr>
          <w:lang w:eastAsia="en-GB"/>
        </w:rPr>
        <w:t>The decline of mangrove ecosystems around the Songor Lagoon and Volta River estuary removes critical natural buffers against tidal surges and erosion. Adaptation planning should prioritize mangrove restoration, afforestation and conservation of wetlands as cost-effective, ecosystem-based approaches that deliver both ecological and livelihood benefits. Community participation in these initiatives will ensure sustainability while generating alternative income streams through eco-tourism and sustainable harves</w:t>
      </w:r>
      <w:r>
        <w:rPr>
          <w:lang w:eastAsia="en-GB"/>
        </w:rPr>
        <w:t>ting.</w:t>
      </w:r>
    </w:p>
    <w:p w14:paraId="17678F50" w14:textId="77777777" w:rsidR="0099599B" w:rsidRDefault="00EB7A3F">
      <w:pPr>
        <w:spacing w:line="360" w:lineRule="auto"/>
        <w:jc w:val="both"/>
        <w:rPr>
          <w:b/>
          <w:bCs/>
          <w:color w:val="A02B93" w:themeColor="accent5"/>
          <w:lang w:eastAsia="en-GB"/>
        </w:rPr>
      </w:pPr>
      <w:r>
        <w:rPr>
          <w:b/>
          <w:bCs/>
          <w:color w:val="A02B93" w:themeColor="accent5"/>
          <w:lang w:eastAsia="en-GB"/>
        </w:rPr>
        <w:t>Mainstreaming Gender and Social Inclusion</w:t>
      </w:r>
    </w:p>
    <w:p w14:paraId="7AF1BB96" w14:textId="77777777" w:rsidR="0099599B" w:rsidRDefault="00EB7A3F">
      <w:pPr>
        <w:spacing w:line="360" w:lineRule="auto"/>
        <w:jc w:val="both"/>
        <w:rPr>
          <w:lang w:eastAsia="en-GB"/>
        </w:rPr>
      </w:pPr>
      <w:r>
        <w:rPr>
          <w:lang w:eastAsia="en-GB"/>
        </w:rPr>
        <w:t xml:space="preserve">The survey data revealed stark gender inequalities in adaptation capacity: while men dominate financial and farming decisions, women bear the heaviest workloads in water collection, childcare and fish processing, yet have less than 10% equal access to credit and virtually no organizational support for adaptation. Adaptation planning must mainstream gender by creating women-centered organizations, ensuring equal access to land and credit and tailoring interventions to reduce </w:t>
      </w:r>
      <w:r>
        <w:rPr>
          <w:lang w:eastAsia="en-GB"/>
        </w:rPr>
        <w:lastRenderedPageBreak/>
        <w:t>women’s disproportionate burdens. Social protection measures should also target persons with disabilities and marginalized groups who face discrimination in accessing livelihood opportunities.</w:t>
      </w:r>
    </w:p>
    <w:p w14:paraId="26B66D4B" w14:textId="77777777" w:rsidR="0099599B" w:rsidRDefault="00EB7A3F">
      <w:pPr>
        <w:spacing w:line="360" w:lineRule="auto"/>
        <w:jc w:val="both"/>
        <w:rPr>
          <w:b/>
          <w:bCs/>
          <w:color w:val="A02B93" w:themeColor="accent5"/>
          <w:lang w:eastAsia="en-GB"/>
        </w:rPr>
      </w:pPr>
      <w:r>
        <w:rPr>
          <w:b/>
          <w:bCs/>
          <w:color w:val="A02B93" w:themeColor="accent5"/>
          <w:lang w:eastAsia="en-GB"/>
        </w:rPr>
        <w:t>Strengthening Institutional Capacity and Governance</w:t>
      </w:r>
    </w:p>
    <w:p w14:paraId="3F8B9D34" w14:textId="77777777" w:rsidR="0099599B" w:rsidRDefault="00EB7A3F">
      <w:pPr>
        <w:spacing w:line="360" w:lineRule="auto"/>
        <w:jc w:val="both"/>
        <w:rPr>
          <w:lang w:eastAsia="en-GB"/>
        </w:rPr>
      </w:pPr>
      <w:r>
        <w:rPr>
          <w:lang w:eastAsia="en-GB"/>
        </w:rPr>
        <w:t>Adaptation planning requires well-coordinated institutions at the district and community levels. Current gaps in enforcement of coastal buffer zones, weak early warning dissemination and fragmented institutional roles undermine resilience. Building adaptive governance will require strengthening NADMO’s capacity, integrating climate risk into district development plans, enhancing coordination across ministries and investing in community-based early warning systems.</w:t>
      </w:r>
    </w:p>
    <w:p w14:paraId="6A1AAE40" w14:textId="77777777" w:rsidR="0099599B" w:rsidRDefault="00EB7A3F">
      <w:pPr>
        <w:spacing w:line="360" w:lineRule="auto"/>
        <w:jc w:val="both"/>
        <w:rPr>
          <w:b/>
          <w:bCs/>
          <w:color w:val="A02B93" w:themeColor="accent5"/>
          <w:lang w:eastAsia="en-GB"/>
        </w:rPr>
      </w:pPr>
      <w:r>
        <w:rPr>
          <w:b/>
          <w:bCs/>
          <w:color w:val="A02B93" w:themeColor="accent5"/>
          <w:lang w:eastAsia="en-GB"/>
        </w:rPr>
        <w:t>Towards Integrated Adaptation Pathways</w:t>
      </w:r>
    </w:p>
    <w:p w14:paraId="1C9BCFB4" w14:textId="77777777" w:rsidR="0099599B" w:rsidRDefault="00EB7A3F">
      <w:pPr>
        <w:spacing w:line="360" w:lineRule="auto"/>
        <w:jc w:val="both"/>
        <w:rPr>
          <w:lang w:eastAsia="en-GB"/>
        </w:rPr>
      </w:pPr>
      <w:r>
        <w:rPr>
          <w:lang w:eastAsia="en-GB"/>
        </w:rPr>
        <w:t>The evidence from Ada East underscores that adaptation cannot be treated as a set of isolated interventions. Instead, it must be pursued through integrated pathways that link resilient livelihoods, water security, ecosystem protection, gender equity and institutional strengthening. By embedding these priorities into the District Medium-Term Development Plan and aligning them with Ghana’s National Adaptation Plan (NAP), Ada East can transition from reactive crisis management to proactive resilience building.</w:t>
      </w:r>
    </w:p>
    <w:p w14:paraId="207BE8EF" w14:textId="77777777" w:rsidR="0099599B" w:rsidRDefault="0099599B">
      <w:pPr>
        <w:spacing w:line="360" w:lineRule="auto"/>
        <w:jc w:val="both"/>
        <w:rPr>
          <w:lang w:eastAsia="en-GB"/>
        </w:rPr>
      </w:pPr>
    </w:p>
    <w:p w14:paraId="4CA3E9AC" w14:textId="77777777" w:rsidR="0099599B" w:rsidRDefault="00EB7A3F">
      <w:pPr>
        <w:pStyle w:val="Heading2"/>
        <w:spacing w:line="360" w:lineRule="auto"/>
      </w:pPr>
      <w:bookmarkStart w:id="77" w:name="_Toc5383"/>
      <w:r>
        <w:t>5.2 Conclusions</w:t>
      </w:r>
      <w:bookmarkEnd w:id="77"/>
      <w:r>
        <w:tab/>
      </w:r>
    </w:p>
    <w:p w14:paraId="474844F3" w14:textId="77777777" w:rsidR="0099599B" w:rsidRDefault="00EB7A3F">
      <w:pPr>
        <w:spacing w:line="360" w:lineRule="auto"/>
        <w:jc w:val="both"/>
        <w:rPr>
          <w:lang w:eastAsia="en-GB"/>
        </w:rPr>
      </w:pPr>
      <w:r>
        <w:rPr>
          <w:lang w:eastAsia="en-GB"/>
        </w:rPr>
        <w:t>The vulnerability assessment of Ada East District demonstrates that exposure to climate change is multi-dimensional, encompassing physical, socio-economic, gendered, and institutional factors. Rising temperatures, more frequent heat extremes, erratic rainfall patterns, and sea-level rise are already affecting the district’s coastal, estuarine, and inland communities. When these hazards intersect with structural challenges—such as reliance on climate-sensitive livelihoods, inadequate infrastructure, environm</w:t>
      </w:r>
      <w:r>
        <w:rPr>
          <w:lang w:eastAsia="en-GB"/>
        </w:rPr>
        <w:t>ental degradation, limited institutional capacity, and social inequalities they create a complex web of risks that threaten food security, water access, human health, livelihoods, and ecosystem services.</w:t>
      </w:r>
    </w:p>
    <w:p w14:paraId="3A89F379" w14:textId="77777777" w:rsidR="0099599B" w:rsidRDefault="00EB7A3F">
      <w:pPr>
        <w:spacing w:line="360" w:lineRule="auto"/>
        <w:jc w:val="both"/>
        <w:rPr>
          <w:lang w:eastAsia="en-GB"/>
        </w:rPr>
      </w:pPr>
      <w:r>
        <w:rPr>
          <w:lang w:eastAsia="en-GB"/>
        </w:rPr>
        <w:t xml:space="preserve">Adaptation planning in Ada East must move beyond reactive, short-term measures. The findings underscore the need for anticipatory, inclusive, and integrated adaptation strategies that are aligned </w:t>
      </w:r>
      <w:r>
        <w:rPr>
          <w:lang w:eastAsia="en-GB"/>
        </w:rPr>
        <w:lastRenderedPageBreak/>
        <w:t>with local development priorities and consistent with national frameworks, including Ghana’s National Adaptation Plan (NAP). Strengthening resilience will require not only climate-smart infrastructure and livelihood interventions but also robust governance systems, empowered communities, and reliable financing mechanisms.</w:t>
      </w:r>
    </w:p>
    <w:p w14:paraId="594E3096" w14:textId="77777777" w:rsidR="0099599B" w:rsidRDefault="00EB7A3F">
      <w:pPr>
        <w:spacing w:line="360" w:lineRule="auto"/>
        <w:jc w:val="both"/>
        <w:rPr>
          <w:lang w:eastAsia="en-GB"/>
        </w:rPr>
      </w:pPr>
      <w:r>
        <w:rPr>
          <w:lang w:eastAsia="en-GB"/>
        </w:rPr>
        <w:t xml:space="preserve">Strategic entry points include promoting climate-resilient agriculture, improving water and sanitation management, restoring coastal and inland ecosystems such as mangroves and wetlands, enhancing infrastructure to withstand floods and droughts, strengthening health systems, and mainstreaming gender- and youth-responsive approaches to livelihood support. These actions should be embedded into district planning and service delivery, ensuring that adaptation becomes a core component of development rather than </w:t>
      </w:r>
      <w:r>
        <w:rPr>
          <w:lang w:eastAsia="en-GB"/>
        </w:rPr>
        <w:t>a separate initiative.</w:t>
      </w:r>
    </w:p>
    <w:p w14:paraId="27AADD36" w14:textId="77777777" w:rsidR="0099599B" w:rsidRDefault="00EB7A3F">
      <w:pPr>
        <w:spacing w:line="360" w:lineRule="auto"/>
        <w:jc w:val="both"/>
        <w:rPr>
          <w:lang w:eastAsia="en-GB"/>
        </w:rPr>
      </w:pPr>
      <w:r>
        <w:rPr>
          <w:lang w:eastAsia="en-GB"/>
        </w:rPr>
        <w:t>The long-term vision for Ada East is a climate-resilient district where coastal and inland communities are protected from flooding, tidal surges, and salinization; where farming, fisheries, and other livelihoods are sustained despite climatic pressures; where ecosystems continue to provide essential services; and where institutions proactively manage climate risks in an inclusive manner. Achieving this vision will require strong partnerships among government agencies, traditional authorities, civil society,</w:t>
      </w:r>
      <w:r>
        <w:rPr>
          <w:lang w:eastAsia="en-GB"/>
        </w:rPr>
        <w:t xml:space="preserve"> the private sector, and development partners, as well as the active engagement of women, men, youth, and marginalized groups, ensuring that resilience-building efforts are equitable and leave no one behind.</w:t>
      </w:r>
    </w:p>
    <w:p w14:paraId="60F5179D" w14:textId="77777777" w:rsidR="0099599B" w:rsidRDefault="00EB7A3F">
      <w:pPr>
        <w:spacing w:line="360" w:lineRule="auto"/>
        <w:jc w:val="both"/>
        <w:rPr>
          <w:lang w:eastAsia="en-GB"/>
        </w:rPr>
      </w:pPr>
      <w:r>
        <w:rPr>
          <w:lang w:eastAsia="en-GB"/>
        </w:rPr>
        <w:br w:type="page"/>
      </w:r>
    </w:p>
    <w:p w14:paraId="3597C850" w14:textId="77777777" w:rsidR="0099599B" w:rsidRDefault="00EB7A3F">
      <w:pPr>
        <w:pStyle w:val="Heading1"/>
      </w:pPr>
      <w:bookmarkStart w:id="78" w:name="_Toc3895"/>
      <w:r>
        <w:lastRenderedPageBreak/>
        <w:t>REFERENCES</w:t>
      </w:r>
      <w:bookmarkEnd w:id="78"/>
    </w:p>
    <w:p w14:paraId="1AEC7C95" w14:textId="77777777" w:rsidR="0099599B" w:rsidRDefault="00EB7A3F">
      <w:pPr>
        <w:numPr>
          <w:ilvl w:val="0"/>
          <w:numId w:val="10"/>
        </w:numPr>
      </w:pPr>
      <w:r>
        <w:t>Abu, M., Atiglo, D. Y., Addoquaye Tagoe, C., &amp; Codjoe, S. N. (2022). Drivers of migration intentions in the Volta Delta: Investigating the effect of climate-related hazards and adaptation strategies. Frontiers in Climate, 4, 975650.</w:t>
      </w:r>
    </w:p>
    <w:p w14:paraId="7D741998" w14:textId="77777777" w:rsidR="0099599B" w:rsidRDefault="00EB7A3F">
      <w:pPr>
        <w:numPr>
          <w:ilvl w:val="0"/>
          <w:numId w:val="10"/>
        </w:numPr>
      </w:pPr>
      <w:r>
        <w:t>Adaawen, S. (2021). Understanding climate change and drought perceptions, impact and responses in the rural Savannah, West Africa. Atmosphere, 12(5), 594.</w:t>
      </w:r>
    </w:p>
    <w:p w14:paraId="6A06E8A2" w14:textId="77777777" w:rsidR="0099599B" w:rsidRDefault="00EB7A3F">
      <w:pPr>
        <w:numPr>
          <w:ilvl w:val="0"/>
          <w:numId w:val="10"/>
        </w:numPr>
      </w:pPr>
      <w:r>
        <w:t>Addo, K. A., Jayson-Quashigah, P.-N., &amp; Kufogbe, S. K. (2020). Shoreline changes and their socioeconomic impacts on coastal communities in Ghana. Journal of Coastal Conservation, 24(1), 1–12. https://doi.org/10.1007/s11852-019-00710-0</w:t>
      </w:r>
    </w:p>
    <w:p w14:paraId="261777FA" w14:textId="77777777" w:rsidR="0099599B" w:rsidRDefault="00EB7A3F">
      <w:pPr>
        <w:numPr>
          <w:ilvl w:val="0"/>
          <w:numId w:val="10"/>
        </w:numPr>
      </w:pPr>
      <w:r>
        <w:t>Agodzo, S. K., Bessah, E., &amp; Nyatuame, M. (2023). A review of the water resources of Ghana in a changing climate and anthropogenic stresses. In Frontiers in Water (Vol. 4). Frontiers Media S.A. https://doi.org/10.3389/frwa.2022.973825</w:t>
      </w:r>
    </w:p>
    <w:p w14:paraId="6D628596" w14:textId="77777777" w:rsidR="0099599B" w:rsidRDefault="00EB7A3F">
      <w:pPr>
        <w:numPr>
          <w:ilvl w:val="0"/>
          <w:numId w:val="10"/>
        </w:numPr>
      </w:pPr>
      <w:r>
        <w:t>Akpalu, W., &amp; Codjoe, S. N. A. (2013). Economic analysis of climate variability impact on malaria prevalence: The case of Ghana. Sustainability, 5(10), 4362–4378. https://doi.org/10.3390/SU5104362</w:t>
      </w:r>
    </w:p>
    <w:p w14:paraId="77ABCE8A" w14:textId="77777777" w:rsidR="0099599B" w:rsidRDefault="00EB7A3F">
      <w:pPr>
        <w:numPr>
          <w:ilvl w:val="0"/>
          <w:numId w:val="10"/>
        </w:numPr>
      </w:pPr>
      <w:r>
        <w:t>Alongi, D. M. (2008). Mangrove forests: Resilience, protection from tsunamis and responses to global climate change. Estuarine, Coastal and Shelf Science, 76(1), 1–13. https://doi.org/10.1016/j.ecss.2007.08.024</w:t>
      </w:r>
    </w:p>
    <w:p w14:paraId="151F7880" w14:textId="77777777" w:rsidR="0099599B" w:rsidRDefault="00EB7A3F">
      <w:pPr>
        <w:numPr>
          <w:ilvl w:val="0"/>
          <w:numId w:val="10"/>
        </w:numPr>
      </w:pPr>
      <w:r>
        <w:t>Andoh, H., &amp; Kaba, J. S. (2025). Assessment and projection of climate change impact on Ghana’s agricultural crops: evidence from cassava (Manihot esculenta) production in the coastal Savannah agroecological zone. Theoretical and Applied Climatology, 156. https://doi.org/10.1007/s00704-025-05428-9</w:t>
      </w:r>
    </w:p>
    <w:p w14:paraId="735E7D6B" w14:textId="77777777" w:rsidR="0099599B" w:rsidRDefault="00EB7A3F">
      <w:pPr>
        <w:numPr>
          <w:ilvl w:val="0"/>
          <w:numId w:val="10"/>
        </w:numPr>
      </w:pPr>
      <w:r>
        <w:t>Angnuureng, D. B., Ofosu, G. T., Ayimbisa, E. A., &amp; Almar, R. (2024). Evaluating the Consequences of the 2023 Akosombo Dam Spillage into the Volta River on Fuveme Beach, Ghana (West Africa). Journal of Coastal Research, 113(sp1). https://doi.org/10.2112/jcr-si113-200.1</w:t>
      </w:r>
    </w:p>
    <w:p w14:paraId="0AFE778C" w14:textId="77777777" w:rsidR="0099599B" w:rsidRDefault="00EB7A3F">
      <w:pPr>
        <w:numPr>
          <w:ilvl w:val="0"/>
          <w:numId w:val="10"/>
        </w:numPr>
      </w:pPr>
      <w:r>
        <w:t>Ankrah, J. (2024). Climate risks and adaptation strategies: the perspectives of farmers in coastal Ghana. Journal of Environmental Studies and Sciences. https://doi.org/10.1007/s13412-024-00970-w</w:t>
      </w:r>
    </w:p>
    <w:p w14:paraId="5F3CEB22" w14:textId="77777777" w:rsidR="0099599B" w:rsidRDefault="00EB7A3F">
      <w:pPr>
        <w:numPr>
          <w:ilvl w:val="0"/>
          <w:numId w:val="10"/>
        </w:numPr>
      </w:pPr>
      <w:r>
        <w:t>Appeaning Addo, K. (2013). Coastal erosion management in Ghana: Policy and practice. In W. Leal Filho (Ed.), Climate Change and the Sustainable Use of Water Resources (pp. 131–143). Springer. https://doi.org/10.1007/978-3-642-22266-5_9</w:t>
      </w:r>
    </w:p>
    <w:p w14:paraId="3F1556D0" w14:textId="77777777" w:rsidR="0099599B" w:rsidRDefault="00EB7A3F">
      <w:pPr>
        <w:numPr>
          <w:ilvl w:val="0"/>
          <w:numId w:val="10"/>
        </w:numPr>
      </w:pPr>
      <w:r>
        <w:lastRenderedPageBreak/>
        <w:t>Asuamah-Tawiah, A. (2024). The Effects of Fluvial Flooding on Livelihood Vulnerability in Central Tongu and Ada East Districts of Ghana. Https://Repository.Ensign.Edu.Gh/Handle/123456789/242.</w:t>
      </w:r>
    </w:p>
    <w:p w14:paraId="30B02CC6" w14:textId="77777777" w:rsidR="0099599B" w:rsidRDefault="00EB7A3F">
      <w:pPr>
        <w:numPr>
          <w:ilvl w:val="0"/>
          <w:numId w:val="10"/>
        </w:numPr>
      </w:pPr>
      <w:r>
        <w:t>Atiglo, D. Y., Abu, M., Jayson-Quashigah, P. N., Addo, K. A., &amp; Ardey Codjoe, S. N. (2022). Sociodemographic and geophysical determinants of household vulnerability to coastal hazards in the Volta Delta, Ghana. International Journal of Disaster Risk Reduction, 78. https://doi.org/10.1016/j.ijdrr.2022.103146</w:t>
      </w:r>
    </w:p>
    <w:p w14:paraId="71B27F25" w14:textId="77777777" w:rsidR="0099599B" w:rsidRDefault="00EB7A3F">
      <w:pPr>
        <w:numPr>
          <w:ilvl w:val="0"/>
          <w:numId w:val="10"/>
        </w:numPr>
      </w:pPr>
      <w:r>
        <w:t>Avornyo, S. Y., Addo, K. A., Teatini, P., Minderhoud, P., Woillez, M. N., Jayson-Quashigah, P. N., &amp; Mahu, E. (2023). A scoping review of coastal vulnerability, subsidence and sea level rise in Ghana: Assessments, knowledge gaps and management implications. Quaternary Science Advances, 12, 100108.</w:t>
      </w:r>
    </w:p>
    <w:p w14:paraId="67C498C3" w14:textId="77777777" w:rsidR="0099599B" w:rsidRDefault="00EB7A3F">
      <w:pPr>
        <w:numPr>
          <w:ilvl w:val="0"/>
          <w:numId w:val="10"/>
        </w:numPr>
      </w:pPr>
      <w:r>
        <w:t>Birkmann, J., Liwenga, E., Pandey, R., Boyd, E., Djalante, R., Gemenne, F., ... &amp; Wrathall, D. (2022). Poverty, livelihoods and sustainable development.</w:t>
      </w:r>
    </w:p>
    <w:p w14:paraId="7C256773" w14:textId="77777777" w:rsidR="0099599B" w:rsidRDefault="00EB7A3F">
      <w:pPr>
        <w:numPr>
          <w:ilvl w:val="0"/>
          <w:numId w:val="10"/>
        </w:numPr>
      </w:pPr>
      <w:r>
        <w:t>Boafo, Y. A., Lah, G. S., &amp; Manteaw, B. O. (2025). Wetlands as nature-based solutions to climate-induced coastal hazards: Institutional perspectives from the Keta Lagoon Complex, Ghana. Wetlands Ecology and Management, 33(4), 60.</w:t>
      </w:r>
    </w:p>
    <w:p w14:paraId="41FE9539" w14:textId="77777777" w:rsidR="0099599B" w:rsidRDefault="00EB7A3F">
      <w:pPr>
        <w:numPr>
          <w:ilvl w:val="0"/>
          <w:numId w:val="10"/>
        </w:numPr>
      </w:pPr>
      <w:r>
        <w:t>Boafo, Y. A., Ohemeng, F. N. A., Ayivor, J., Ayitiah, J. A., Yirenya-Tawiah, D., Mensah, A., Datsa, C., Annang, T. Y., &amp; Adom, L. (2024). Unraveling diarrheal disease knowledge, understanding and management practices among climate change vulnerable coastal communities in Ghana. Frontiers in Public Health, 12. https://doi.org/10.3389/fpubh.2024.1352275</w:t>
      </w:r>
    </w:p>
    <w:p w14:paraId="5EAF7BA7" w14:textId="77777777" w:rsidR="0099599B" w:rsidRDefault="00EB7A3F">
      <w:pPr>
        <w:numPr>
          <w:ilvl w:val="0"/>
          <w:numId w:val="10"/>
        </w:numPr>
      </w:pPr>
      <w:r>
        <w:t>Boateng, I. (2012). An application of GIS and coastal geomorphology for large-scale assessment of coastal erosion and management: A case study of Ghana. Journal of Coastal Conservation, 16(3), 383–397. https://doi.org/10.1007/s11852-012-0209-0</w:t>
      </w:r>
    </w:p>
    <w:p w14:paraId="0D27AE9B" w14:textId="77777777" w:rsidR="0099599B" w:rsidRDefault="00EB7A3F">
      <w:pPr>
        <w:numPr>
          <w:ilvl w:val="0"/>
          <w:numId w:val="10"/>
        </w:numPr>
      </w:pPr>
      <w:r>
        <w:t>Bolle, A., das Neves, L., &amp; Rooseleer, J. (2015). Coastal protection for Ada, Ghana: a case study. 168(3), 125–133. https://doi.org/10.1680/JMAEN.15.00013</w:t>
      </w:r>
    </w:p>
    <w:p w14:paraId="46622A3A" w14:textId="77777777" w:rsidR="0099599B" w:rsidRDefault="00EB7A3F">
      <w:pPr>
        <w:numPr>
          <w:ilvl w:val="0"/>
          <w:numId w:val="10"/>
        </w:numPr>
      </w:pPr>
      <w:r>
        <w:t>Chandra, G., &amp; Mukherjee, D. (2021). Effect of climate change on mosquito population and changing pattern of some diseases transmitted by them. In Advances in Animal Experimentation and Modeling: Understanding Life Phenomena (pp. 455–460). Elsevier. https://doi.org/10.1016/B978-0-323-90583-1.00030-1</w:t>
      </w:r>
    </w:p>
    <w:p w14:paraId="3EFADC92" w14:textId="77777777" w:rsidR="0099599B" w:rsidRDefault="00EB7A3F">
      <w:pPr>
        <w:numPr>
          <w:ilvl w:val="0"/>
          <w:numId w:val="10"/>
        </w:numPr>
      </w:pPr>
      <w:r>
        <w:t>CSIR–Water Research Institute (CSIR-WRI). (2018). Assessment of groundwater salinity and its impacts on coastal communities in Ada East District. Accra: Council for Scientific and Industrial Research.</w:t>
      </w:r>
    </w:p>
    <w:p w14:paraId="38EC9D4A" w14:textId="77777777" w:rsidR="0099599B" w:rsidRDefault="00EB7A3F">
      <w:pPr>
        <w:numPr>
          <w:ilvl w:val="0"/>
          <w:numId w:val="10"/>
        </w:numPr>
      </w:pPr>
      <w:r>
        <w:lastRenderedPageBreak/>
        <w:t>Cudjoe, S., &amp; Kwabla Alorvor, S. (2021). Indigenous Knowledge Practices and Community Adaptation to Coastal Flooding in Ada East District of Ghana. Hydrology, 9, 13. https://doi.org/10.11648/j.hyd.20210901.12</w:t>
      </w:r>
    </w:p>
    <w:p w14:paraId="685AE7F6" w14:textId="77777777" w:rsidR="0099599B" w:rsidRDefault="00EB7A3F">
      <w:pPr>
        <w:numPr>
          <w:ilvl w:val="0"/>
          <w:numId w:val="10"/>
        </w:numPr>
      </w:pPr>
      <w:r>
        <w:t>DeGroot, D. W., O’Connor, F. G., &amp; Roberts, W. O. (2022). Exertional heat stroke: an evidence based approach to clinical assessment and management. In Experimental Physiology (Vol. 107, pp. 1172–1183). John Wiley and Sons Inc. https://doi.org/10.1113/EP090488</w:t>
      </w:r>
    </w:p>
    <w:p w14:paraId="0281BE88" w14:textId="77777777" w:rsidR="0099599B" w:rsidRDefault="00EB7A3F">
      <w:pPr>
        <w:numPr>
          <w:ilvl w:val="0"/>
          <w:numId w:val="10"/>
        </w:numPr>
      </w:pPr>
      <w:r>
        <w:t>Desjonqueres, C., Zhao, H., Kosmidou-Bradley, W., &amp; Corral, P. (2024). Ghana’s climate vulnerability profile.</w:t>
      </w:r>
    </w:p>
    <w:p w14:paraId="46772C0A" w14:textId="77777777" w:rsidR="0099599B" w:rsidRDefault="00EB7A3F">
      <w:pPr>
        <w:numPr>
          <w:ilvl w:val="0"/>
          <w:numId w:val="10"/>
        </w:numPr>
      </w:pPr>
      <w:r>
        <w:t>Dharmarathne, G., Waduge, A. O., Bogahawaththa, M., Rathnayake, U., &amp; Meddage, D. P. P. (2024). Adapting cities to the surge: A comprehensive review of climate-induced urban flooding. Results in Engineering, 22. https://doi.org/10.1016/j.rineng.2024.102123</w:t>
      </w:r>
    </w:p>
    <w:p w14:paraId="64E16428" w14:textId="77777777" w:rsidR="0099599B" w:rsidRDefault="00EB7A3F">
      <w:pPr>
        <w:numPr>
          <w:ilvl w:val="0"/>
          <w:numId w:val="10"/>
        </w:numPr>
      </w:pPr>
      <w:r>
        <w:t>Dodman, D., Sverdlik, A., Agarwal, S., Kadungure, A., Kothiwal, K., Machemedze, R., &amp; Verma, S. (2023). Climate change and informal workers: Towards an agenda for research and practice. Urban Climate, 48, 101401. https://doi.org/10.1016/j.uclim.2022.101401</w:t>
      </w:r>
    </w:p>
    <w:p w14:paraId="35CC5249" w14:textId="77777777" w:rsidR="0099599B" w:rsidRDefault="00EB7A3F">
      <w:pPr>
        <w:numPr>
          <w:ilvl w:val="0"/>
          <w:numId w:val="10"/>
        </w:numPr>
      </w:pPr>
      <w:r>
        <w:t>Environmental Protection Agency (EPA). (2021). Ghana’s Fourth National Communication to the UNFCCC: Climate Change Impacts, Vulnerabilities and Adaptation Assessments. Accra: Ministry of Environment, Science, Technology and Innovation.</w:t>
      </w:r>
    </w:p>
    <w:p w14:paraId="7A7D88BE" w14:textId="77777777" w:rsidR="0099599B" w:rsidRDefault="00EB7A3F">
      <w:pPr>
        <w:numPr>
          <w:ilvl w:val="0"/>
          <w:numId w:val="10"/>
        </w:numPr>
      </w:pPr>
      <w:r>
        <w:t>EPA. (2020). Ghana’s Fourth National Communication to the United Nations Framework Convention on Climate Change. https://unfccc.int/sites/default/files/resource/Gh_NC4.pdf</w:t>
      </w:r>
    </w:p>
    <w:p w14:paraId="3CF3D324" w14:textId="77777777" w:rsidR="0099599B" w:rsidRDefault="00EB7A3F">
      <w:pPr>
        <w:numPr>
          <w:ilvl w:val="0"/>
          <w:numId w:val="10"/>
        </w:numPr>
      </w:pPr>
      <w:r>
        <w:t>Fianko, J. R., &amp; Dodd, H. S. (2019). Investigation of the factors that contribute to degradation of Songor Ramsar and UNESCO Man and Biosphere Reserve in Ghana. West African Journal of Applied Ecology, 27(2), 126–136. https://doi.org/10.4314/WAJAE.V27I2</w:t>
      </w:r>
    </w:p>
    <w:p w14:paraId="70F7D821" w14:textId="77777777" w:rsidR="0099599B" w:rsidRDefault="00EB7A3F">
      <w:pPr>
        <w:numPr>
          <w:ilvl w:val="0"/>
          <w:numId w:val="10"/>
        </w:numPr>
      </w:pPr>
      <w:r>
        <w:t>Fowler, H. J., &amp; Ali, H. (2022). Analysis of extreme rainfall events under the climatic change. In Rainfall: Modeling, Measurement and Applications (pp. 307–326). Elsevier. https://doi.org/10.1016/B978-0-12-822544-8.00017-2</w:t>
      </w:r>
    </w:p>
    <w:p w14:paraId="6F2B51D6" w14:textId="77777777" w:rsidR="0099599B" w:rsidRDefault="00EB7A3F">
      <w:pPr>
        <w:numPr>
          <w:ilvl w:val="0"/>
          <w:numId w:val="10"/>
        </w:numPr>
      </w:pPr>
      <w:r>
        <w:t>Ghana Business News. (2022, April 5). Tidal waves displace hundreds in Ada East. https://www.ghanabusinessnews.com/2022/04/05/tidal-waves-displace-hundreds-in-ada-east/</w:t>
      </w:r>
    </w:p>
    <w:p w14:paraId="6BEF75A7" w14:textId="77777777" w:rsidR="0099599B" w:rsidRDefault="00EB7A3F">
      <w:pPr>
        <w:numPr>
          <w:ilvl w:val="0"/>
          <w:numId w:val="10"/>
        </w:numPr>
      </w:pPr>
      <w:r>
        <w:t>Ghana Meteorological Agency (GMet). (2020). Climate data summary and projections for Ghana: 1960–2019. Accra: Ghana Meteorological Agency.</w:t>
      </w:r>
    </w:p>
    <w:p w14:paraId="5C816BB2" w14:textId="77777777" w:rsidR="0099599B" w:rsidRDefault="00EB7A3F">
      <w:pPr>
        <w:numPr>
          <w:ilvl w:val="0"/>
          <w:numId w:val="10"/>
        </w:numPr>
      </w:pPr>
      <w:r>
        <w:t>Ghana News Agency (GNA). (2024, April 18). Over 100 homes submerged by river waves in Ada East. https://www.gna.org.gh/</w:t>
      </w:r>
    </w:p>
    <w:p w14:paraId="6C0D7862" w14:textId="77777777" w:rsidR="0099599B" w:rsidRDefault="00EB7A3F">
      <w:pPr>
        <w:numPr>
          <w:ilvl w:val="0"/>
          <w:numId w:val="10"/>
        </w:numPr>
      </w:pPr>
      <w:r>
        <w:lastRenderedPageBreak/>
        <w:t>Ghana Statistical Service (2021). 2021 Population and Housing Census: Ada East District Analytical Report.</w:t>
      </w:r>
    </w:p>
    <w:p w14:paraId="5BD036F2" w14:textId="77777777" w:rsidR="0099599B" w:rsidRDefault="00EB7A3F">
      <w:pPr>
        <w:numPr>
          <w:ilvl w:val="0"/>
          <w:numId w:val="10"/>
        </w:numPr>
      </w:pPr>
      <w:r>
        <w:t>Ghana Statistical Service. (2021). GHANA 2021 POPULATION AND HOUSING CENSUS: LITERACY AND EDUCATION.</w:t>
      </w:r>
    </w:p>
    <w:p w14:paraId="5DD8B8C1" w14:textId="77777777" w:rsidR="0099599B" w:rsidRDefault="00EB7A3F">
      <w:pPr>
        <w:numPr>
          <w:ilvl w:val="0"/>
          <w:numId w:val="10"/>
        </w:numPr>
      </w:pPr>
      <w:r>
        <w:t>Ghana Web. (2024, June 12). Mangrove loss worsening flood risk in Ada East District. https://www.ghanaweb.com/</w:t>
      </w:r>
    </w:p>
    <w:p w14:paraId="5E34B1F5" w14:textId="77777777" w:rsidR="0099599B" w:rsidRDefault="00EB7A3F">
      <w:pPr>
        <w:numPr>
          <w:ilvl w:val="0"/>
          <w:numId w:val="10"/>
        </w:numPr>
      </w:pPr>
      <w:r>
        <w:t>Haj-Amor, Z., Araya, T., Kim, D. G., Bouri, S., Lee, J., Ghiloufi, W., Yang, Y., Kang, H., Jhariya, M. K., Banerjee, A., &amp; Lal, R. (2022). Soil salinity and its associated effects on soil microorganisms, greenhouse gas emissions, crop yield, biodiversity and desertification: A review. In Science of the Total Environment (Vol. 843). Elsevier B.V. https://doi.org/10.1016/j.scitotenv.2022.156946</w:t>
      </w:r>
    </w:p>
    <w:p w14:paraId="269BE8C9" w14:textId="77777777" w:rsidR="0099599B" w:rsidRDefault="00EB7A3F">
      <w:pPr>
        <w:numPr>
          <w:ilvl w:val="0"/>
          <w:numId w:val="10"/>
        </w:numPr>
      </w:pPr>
      <w:r>
        <w:t>Hussey, L. K., &amp; Arku, G. (2019). Conceptualizations of climate-related health risks among health experts and the public in Ghana. Social Science and Medicine, 223, 40–50. https://doi.org/10.1016/j.socscimed.2019.01.026</w:t>
      </w:r>
    </w:p>
    <w:p w14:paraId="463E2642" w14:textId="77777777" w:rsidR="0099599B" w:rsidRDefault="00EB7A3F">
      <w:pPr>
        <w:numPr>
          <w:ilvl w:val="0"/>
          <w:numId w:val="10"/>
        </w:numPr>
      </w:pPr>
      <w:r>
        <w:t>Intergovernmental Panel on Climate Change (IPCC). (2021). Climate change 2021: The physical science basis. Contribution of Working Group I to the Sixth Assessment Report of the Intergovernmental Panel on Climate Change. Cambridge University Press. https://www.ipcc.ch/report/ar6/wg1/</w:t>
      </w:r>
    </w:p>
    <w:p w14:paraId="594E9781" w14:textId="77777777" w:rsidR="0099599B" w:rsidRDefault="00EB7A3F">
      <w:pPr>
        <w:numPr>
          <w:ilvl w:val="0"/>
          <w:numId w:val="10"/>
        </w:numPr>
      </w:pPr>
      <w:r>
        <w:t>Issahaku, D., Manteaw, B. O., &amp; Wrigley-Asante, C. (2023). Climate change and food systems: Linking adaptive capacity and nutritional needs of low-income households in Ghana. PLOS Climate, 2, e0000154. https://doi.org/10.1371/journal.pclm.0000154</w:t>
      </w:r>
    </w:p>
    <w:p w14:paraId="37170E6C" w14:textId="77777777" w:rsidR="0099599B" w:rsidRDefault="00EB7A3F">
      <w:pPr>
        <w:numPr>
          <w:ilvl w:val="0"/>
          <w:numId w:val="10"/>
        </w:numPr>
      </w:pPr>
      <w:r>
        <w:t>Johnson, A. (2024). Assessing Climate Change and Climate Variability Impacts in the Coastal Savannah Agroecological Zone of Ghana (Doctoral dissertation, Universidade do Porto (Portugal)).</w:t>
      </w:r>
    </w:p>
    <w:p w14:paraId="0A9127EB" w14:textId="77777777" w:rsidR="0099599B" w:rsidRDefault="00EB7A3F">
      <w:pPr>
        <w:numPr>
          <w:ilvl w:val="0"/>
          <w:numId w:val="10"/>
        </w:numPr>
      </w:pPr>
      <w:r>
        <w:t>Krair, S. S. A. (2020). Interference between sea water and groundwater. International Journal of Fauna and Biological Studies, 7(2), 46–57. http://www.faunajournal.com/archives/2020/vol7issue2/PartA/7-2-4-842.pdf</w:t>
      </w:r>
    </w:p>
    <w:p w14:paraId="7DB51E4F" w14:textId="77777777" w:rsidR="0099599B" w:rsidRDefault="00EB7A3F">
      <w:pPr>
        <w:numPr>
          <w:ilvl w:val="0"/>
          <w:numId w:val="10"/>
        </w:numPr>
      </w:pPr>
      <w:r>
        <w:t>Kuzor, A. (2024). Green Ghana Day: NGO, partners move to restore depleted mangroves in Ada. Https://Www.Ghanaweb.Com/GhanaHomePage/NewsArchive/Green-Ghana-Day-NGO-Partners-Move-to-Restore-Depleted-Mangroves-in-Ada-1935197?Utm_source=chatgpt.Com.</w:t>
      </w:r>
    </w:p>
    <w:p w14:paraId="2858C8E4" w14:textId="77777777" w:rsidR="0099599B" w:rsidRDefault="00EB7A3F">
      <w:pPr>
        <w:numPr>
          <w:ilvl w:val="0"/>
          <w:numId w:val="10"/>
        </w:numPr>
      </w:pPr>
      <w:r>
        <w:t>Letsyo, E. (2025). Community-Based Approaches Towards Climate Resilience in the Effutu Municipality: Integrating Traditional Knowledge and Scientific Methods for Sustainable Adaptation. Climate Action in Ghana, 32.</w:t>
      </w:r>
    </w:p>
    <w:p w14:paraId="711FA6F8" w14:textId="77777777" w:rsidR="0099599B" w:rsidRDefault="00EB7A3F">
      <w:pPr>
        <w:numPr>
          <w:ilvl w:val="0"/>
          <w:numId w:val="10"/>
        </w:numPr>
      </w:pPr>
      <w:r>
        <w:lastRenderedPageBreak/>
        <w:t>Makondo, C. C., &amp; Thomas, D. S. (2024). Multidimensional poverty and vulnerability assessment in the face of climate change adaptation in developing economies: focus on ecosystem-based livelihoods in Zambia. Environment, Development and Sustainability, 1-47.</w:t>
      </w:r>
    </w:p>
    <w:p w14:paraId="6655779F" w14:textId="77777777" w:rsidR="0099599B" w:rsidRDefault="00EB7A3F">
      <w:pPr>
        <w:numPr>
          <w:ilvl w:val="0"/>
          <w:numId w:val="10"/>
        </w:numPr>
      </w:pPr>
      <w:r>
        <w:t>Mattah, M. M., Mattah, P. A. D., Mensah, A. M., Adarkwah, F., Mensah, J., &amp; Addo, K. A. (2024). Community perceptions, knowledge and coping mechanisms concerning perennial climate change-related disasters along the Volta estuary of Ghana, West Africa. Scientific African, 25. https://doi.org/10.1016/j.sciaf.2024.e02333</w:t>
      </w:r>
    </w:p>
    <w:p w14:paraId="77DAEE98" w14:textId="77777777" w:rsidR="0099599B" w:rsidRDefault="00EB7A3F">
      <w:pPr>
        <w:numPr>
          <w:ilvl w:val="0"/>
          <w:numId w:val="10"/>
        </w:numPr>
      </w:pPr>
      <w:r>
        <w:t>Mekonnen, A., Tessema, A., Ganewo, Z., &amp; Haile, A. (2021). Climate change impacts on household food security and farmers adaptation strategies. Journal of Agriculture and Food Research, 6. https://doi.org/10.1016/j.jafr.2021.100197</w:t>
      </w:r>
    </w:p>
    <w:p w14:paraId="25002346" w14:textId="77777777" w:rsidR="0099599B" w:rsidRDefault="00EB7A3F">
      <w:pPr>
        <w:numPr>
          <w:ilvl w:val="0"/>
          <w:numId w:val="10"/>
        </w:numPr>
      </w:pPr>
      <w:r>
        <w:t>Mensah, A. M., Amoani, Y., &amp; Agyeman, Y. B. (2016). Assessing the role of mangroves in mitigating coastal hazards and supporting livelihoods in Ghana. Journal of Coastal Management, 44(3), 226–240. https://doi.org/10.1080/08920753.2016.1150879</w:t>
      </w:r>
    </w:p>
    <w:p w14:paraId="1155F732" w14:textId="77777777" w:rsidR="0099599B" w:rsidRDefault="00EB7A3F">
      <w:pPr>
        <w:numPr>
          <w:ilvl w:val="0"/>
          <w:numId w:val="10"/>
        </w:numPr>
      </w:pPr>
      <w:r>
        <w:t>Ministry of Health. (2020). National climate change and health strategy: 2020–2030. Accra: Ministry of Health.</w:t>
      </w:r>
    </w:p>
    <w:p w14:paraId="29F8E693" w14:textId="77777777" w:rsidR="0099599B" w:rsidRDefault="00EB7A3F">
      <w:pPr>
        <w:numPr>
          <w:ilvl w:val="0"/>
          <w:numId w:val="10"/>
        </w:numPr>
      </w:pPr>
      <w:r>
        <w:t>Mohd, I., Bhat, F. A., Shah, T. H., &amp; Wali, A. (2024). Consequence of climate change on fisheries and aquatic system (pp. 1–6). https://doi.org/10.58532/v3bcag18p1ch1</w:t>
      </w:r>
    </w:p>
    <w:p w14:paraId="4CB24BBA" w14:textId="77777777" w:rsidR="0099599B" w:rsidRDefault="00EB7A3F">
      <w:pPr>
        <w:numPr>
          <w:ilvl w:val="0"/>
          <w:numId w:val="10"/>
        </w:numPr>
      </w:pPr>
      <w:r>
        <w:t>MyJoyOnline. (2023, October 22). Akosombo Dam spillage displaces 5,685 in Ada East. https://www.myjoyonline.com/akosombo-dam-spillage-displaces-5685-in-ada-east/</w:t>
      </w:r>
    </w:p>
    <w:p w14:paraId="6F0FEC7E" w14:textId="77777777" w:rsidR="0099599B" w:rsidRDefault="00EB7A3F">
      <w:pPr>
        <w:numPr>
          <w:ilvl w:val="0"/>
          <w:numId w:val="10"/>
        </w:numPr>
      </w:pPr>
      <w:r>
        <w:t>Osei, F. B., &amp; Duker, A. A. (2008). Spatial dependency of V. cholera prevalence on open space refuse dumps in Kumasi, Ghana: A spatial statistical modelling. International Journal of Health Geographics, 7(1), 62. https://doi.org/10.1186/1476-072X-7-62</w:t>
      </w:r>
    </w:p>
    <w:p w14:paraId="50F09A61" w14:textId="77777777" w:rsidR="0099599B" w:rsidRDefault="00EB7A3F">
      <w:pPr>
        <w:numPr>
          <w:ilvl w:val="0"/>
          <w:numId w:val="10"/>
        </w:numPr>
      </w:pPr>
      <w:r>
        <w:t>Osei, S. (2024). Analyzing the intersection of climate vulnerability and household food insecurity in northern Ghana: a sustainable livelihoods approach (Doctoral dissertation, University of the Western Cape).</w:t>
      </w:r>
    </w:p>
    <w:p w14:paraId="395F57C7" w14:textId="77777777" w:rsidR="0099599B" w:rsidRDefault="00EB7A3F">
      <w:pPr>
        <w:numPr>
          <w:ilvl w:val="0"/>
          <w:numId w:val="10"/>
        </w:numPr>
      </w:pPr>
      <w:r>
        <w:t>Osman, B. (2023). Climate and food insecurity risks: identifying exposure and vulnerabilities in the post-food production system of northern ghana. Land, 12(11), 2025. https://doi.org/10.3390/land12112025</w:t>
      </w:r>
    </w:p>
    <w:p w14:paraId="19B72D49" w14:textId="77777777" w:rsidR="0099599B" w:rsidRDefault="00EB7A3F">
      <w:pPr>
        <w:numPr>
          <w:ilvl w:val="0"/>
          <w:numId w:val="10"/>
        </w:numPr>
      </w:pPr>
      <w:r>
        <w:t>Owusu-Daaku, K. (2017). The Sea Defense Project in Ada East District and its implications for Climate Change Policy Implementation in Ghana&amp;#39;s Peri-urban Areas. Https://Www.Academia.Edu/32042233/The_Sea_Defense_Project_in_Ada_East_District_and_its_implications_for_Climate_Change_Policy_Implementation_in_Ghanas_Peri_urban_Areas?Utm_source=chatgpt.Com.</w:t>
      </w:r>
    </w:p>
    <w:p w14:paraId="235101A5" w14:textId="77777777" w:rsidR="0099599B" w:rsidRDefault="00EB7A3F">
      <w:pPr>
        <w:numPr>
          <w:ilvl w:val="0"/>
          <w:numId w:val="10"/>
        </w:numPr>
      </w:pPr>
      <w:r>
        <w:lastRenderedPageBreak/>
        <w:t>Özer, E. (2024). Climate change and its impact on women’s living. Journal of Health Sciences and Medicine. https://doi.org/10.32322/jhsm.1481918</w:t>
      </w:r>
    </w:p>
    <w:p w14:paraId="75B8CC4A" w14:textId="77777777" w:rsidR="0099599B" w:rsidRDefault="00EB7A3F">
      <w:pPr>
        <w:numPr>
          <w:ilvl w:val="0"/>
          <w:numId w:val="10"/>
        </w:numPr>
      </w:pPr>
      <w:r>
        <w:t>Pienaah, C. K., Batung, E., Saaka, S. A., Mohammed, K., &amp; Luginaah, I. (2023). Early warnings and perceived climate change preparedness among smallholder farmers in the Upper West Region of Ghana. Land, 12(10), 1944.</w:t>
      </w:r>
    </w:p>
    <w:p w14:paraId="4D82194F" w14:textId="77777777" w:rsidR="0099599B" w:rsidRDefault="00EB7A3F">
      <w:pPr>
        <w:numPr>
          <w:ilvl w:val="0"/>
          <w:numId w:val="10"/>
        </w:numPr>
      </w:pPr>
      <w:r>
        <w:t>Sarku, R. (2023). Farmers’ perspectives on water availability in the lower Volta Delta region in Ghana. Regional Environmental Change, 23. https://doi.org/10.1007/s10113-023-02152-w</w:t>
      </w:r>
    </w:p>
    <w:p w14:paraId="1311D13B" w14:textId="77777777" w:rsidR="0099599B" w:rsidRDefault="00EB7A3F">
      <w:pPr>
        <w:numPr>
          <w:ilvl w:val="0"/>
          <w:numId w:val="10"/>
        </w:numPr>
      </w:pPr>
      <w:r>
        <w:t>Serdeczny, O., Adams, S., Baarsch, F., Coumou, D., Robinson, A., Hare, W., ... &amp; Reinhardt, J. (2017). Climate change impacts in Sub-Saharan Africa: from physical changes to their social repercussions. Regional Environmental Change, 17(6), 1585-1600.</w:t>
      </w:r>
    </w:p>
    <w:p w14:paraId="2D947CA2" w14:textId="77777777" w:rsidR="0099599B" w:rsidRDefault="00EB7A3F">
      <w:pPr>
        <w:numPr>
          <w:ilvl w:val="0"/>
          <w:numId w:val="10"/>
        </w:numPr>
      </w:pPr>
      <w:r>
        <w:t>Sethamo, O. A., &amp; Harder, M. K. (2021). Evaluating what matters: an evaluation tool for vulnerability risk assessments in local climate change adaptation planning. Journal of Environmental Planning and Management, 64(13), 2346-2364.</w:t>
      </w:r>
    </w:p>
    <w:p w14:paraId="347E0F2B" w14:textId="77777777" w:rsidR="0099599B" w:rsidRDefault="00EB7A3F">
      <w:pPr>
        <w:numPr>
          <w:ilvl w:val="0"/>
          <w:numId w:val="10"/>
        </w:numPr>
      </w:pPr>
      <w:r>
        <w:t>Siakwah, P., Ablo, A. D., Sheburah-Essien, R., Zaami, M., &amp; Yaro, J. A. (2025). Adapting to climate change amidst innovation diffusion and declining indigenous agricultural knowledge and practices in Ghana. African Journal of Science, Technology, Innovation and Development. https://doi.org/10.1080/20421338.2025.2459355</w:t>
      </w:r>
    </w:p>
    <w:p w14:paraId="6318C6ED" w14:textId="77777777" w:rsidR="0099599B" w:rsidRDefault="00EB7A3F">
      <w:pPr>
        <w:numPr>
          <w:ilvl w:val="0"/>
          <w:numId w:val="10"/>
        </w:numPr>
      </w:pPr>
      <w:r>
        <w:t>Tarolli, P., Luo, J., Park, E., Barcaccia, G., &amp; Masin, R. (2024). Soil salinization in agriculture: Mitigation and adaptation strategies combining nature-based solutions and bioengineering. Iscience, 27(2).</w:t>
      </w:r>
    </w:p>
    <w:p w14:paraId="489457ED" w14:textId="77777777" w:rsidR="0099599B" w:rsidRDefault="00EB7A3F">
      <w:pPr>
        <w:numPr>
          <w:ilvl w:val="0"/>
          <w:numId w:val="10"/>
        </w:numPr>
      </w:pPr>
      <w:r>
        <w:t>Tidman, R., Abela-Ridder, B., &amp; De Castañeda, R. R. (2021). The impact of climate change on neglected tropical diseases: A systematic review. In Transactions of the Royal Society of Tropical Medicine and Hygiene (Vol. 115, pp. 147–168). Oxford University Press. https://doi.org/10.1093/trstmh/traa192</w:t>
      </w:r>
    </w:p>
    <w:p w14:paraId="7DFDF32A" w14:textId="77777777" w:rsidR="0099599B" w:rsidRDefault="00EB7A3F">
      <w:pPr>
        <w:numPr>
          <w:ilvl w:val="0"/>
          <w:numId w:val="10"/>
        </w:numPr>
      </w:pPr>
      <w:r>
        <w:t>Townhill, B., Harrod, O., Painting, S., Acheampong, E., Bell, J., Nyarko, B. K., &amp; Engelhard, G. (2023). Climate change risk and adaptation for fisher communities in Ghana. Journal of Coastal Conservation, 27(5), 45.</w:t>
      </w:r>
    </w:p>
    <w:p w14:paraId="12668AD2" w14:textId="77777777" w:rsidR="0099599B" w:rsidRDefault="00EB7A3F">
      <w:pPr>
        <w:numPr>
          <w:ilvl w:val="0"/>
          <w:numId w:val="10"/>
        </w:numPr>
      </w:pPr>
      <w:r>
        <w:t xml:space="preserve">Tumawu, A. F., Kafu, G. Y., Yiran, G. A. B., &amp; Frimpong, L. K. (2024). Assessment of coastal flood risk scenarios on infrastructure in the Keta </w:t>
      </w:r>
      <w:r>
        <w:t>district</w:t>
      </w:r>
      <w:r>
        <w:t xml:space="preserve"> in Ghana using a GIS approach. Heliyon, 10. https://doi.org/10.1016/j.heliyon.2024.e39824</w:t>
      </w:r>
    </w:p>
    <w:p w14:paraId="02E857CF" w14:textId="77777777" w:rsidR="0099599B" w:rsidRDefault="00EB7A3F">
      <w:pPr>
        <w:numPr>
          <w:ilvl w:val="0"/>
          <w:numId w:val="10"/>
        </w:numPr>
      </w:pPr>
      <w:r>
        <w:t>Tumawu, G., Agyemang, E., &amp; Boateng, I. (2024). Coastal infrastructure vulnerability under sea-level rise scenarios in Ghana. Journal of Climate Resilience and Infrastructure, 12(1), 45–62</w:t>
      </w:r>
    </w:p>
    <w:p w14:paraId="267D588C" w14:textId="77777777" w:rsidR="0099599B" w:rsidRDefault="00EB7A3F">
      <w:pPr>
        <w:numPr>
          <w:ilvl w:val="0"/>
          <w:numId w:val="10"/>
        </w:numPr>
      </w:pPr>
      <w:r>
        <w:lastRenderedPageBreak/>
        <w:t>United Nations Ghana (UN Ghana). (2025, March). Cholera outbreak situation report – Ghana. Accra: UN Ghana Country Office.</w:t>
      </w:r>
    </w:p>
    <w:p w14:paraId="31BABD1E" w14:textId="77777777" w:rsidR="0099599B" w:rsidRDefault="00EB7A3F">
      <w:pPr>
        <w:numPr>
          <w:ilvl w:val="0"/>
          <w:numId w:val="10"/>
        </w:numPr>
      </w:pPr>
      <w:r>
        <w:t>West African Science Service Centre on Climate Change and Adapted Land Use (WASCAL). (2020). Climate scenarios for Ghana: Supporting policy and planning for adaptation. Accra: WASCAL.</w:t>
      </w:r>
    </w:p>
    <w:p w14:paraId="63F5F29A" w14:textId="77777777" w:rsidR="0099599B" w:rsidRDefault="00EB7A3F">
      <w:pPr>
        <w:numPr>
          <w:ilvl w:val="0"/>
          <w:numId w:val="10"/>
        </w:numPr>
      </w:pPr>
      <w:r>
        <w:t xml:space="preserve">World Health Organization (WHO). (2023). Climate change and health country profile: Ghana. Geneva: World Health Organization. </w:t>
      </w:r>
      <w:hyperlink r:id="rId47" w:history="1">
        <w:r>
          <w:rPr>
            <w:rStyle w:val="Hyperlink"/>
          </w:rPr>
          <w:t>https://www.who.int/publications/i/item/WHO-Ghana-Climate-Health-Profile-2023</w:t>
        </w:r>
      </w:hyperlink>
    </w:p>
    <w:p w14:paraId="6D68DB74" w14:textId="77777777" w:rsidR="0099599B" w:rsidRDefault="00EB7A3F">
      <w:pPr>
        <w:numPr>
          <w:ilvl w:val="0"/>
          <w:numId w:val="10"/>
        </w:numPr>
      </w:pPr>
      <w:r>
        <w:t>Xiao, H., Tang, Y., Li, H., Zhang, L., Ngo-Duc, T., Chen, D., &amp; Tang, Q. (2021). Saltwater intrusion into groundwater systems in the Mekong Delta and links to global change. In Advances in Climate Change Research (Vol. 12, pp. 342–352). National Climate Center. https://doi.org/10.1016/j.accre.2021.04.005</w:t>
      </w:r>
    </w:p>
    <w:p w14:paraId="6AB7E55A" w14:textId="77777777" w:rsidR="0099599B" w:rsidRDefault="00EB7A3F">
      <w:pPr>
        <w:numPr>
          <w:ilvl w:val="0"/>
          <w:numId w:val="10"/>
        </w:numPr>
      </w:pPr>
      <w:r>
        <w:t xml:space="preserve">Yeboah, F., Ackom, E. K., Yidana, S. M., &amp; Awotwi, A. (2024). Hydrologic Modelling for Flood Threshold and Hazard Prediction in the Black Volta River Basin, West Africa. Environmental Modeling and Assessment, 29, 375–394. </w:t>
      </w:r>
      <w:hyperlink r:id="rId48" w:history="1">
        <w:r>
          <w:rPr>
            <w:rStyle w:val="Hyperlink"/>
          </w:rPr>
          <w:t>https://doi.org/10.1007/s10666-023-09946-6</w:t>
        </w:r>
      </w:hyperlink>
    </w:p>
    <w:p w14:paraId="2BE6A369" w14:textId="77777777" w:rsidR="0099599B" w:rsidRDefault="00EB7A3F">
      <w:r>
        <w:tab/>
      </w:r>
    </w:p>
    <w:p w14:paraId="4A17B455" w14:textId="77777777" w:rsidR="0099599B" w:rsidRDefault="00EB7A3F">
      <w:r>
        <w:br w:type="page"/>
      </w:r>
    </w:p>
    <w:p w14:paraId="0A6DFBC5" w14:textId="77777777" w:rsidR="0099599B" w:rsidRDefault="00EB7A3F">
      <w:pPr>
        <w:pStyle w:val="Heading1"/>
      </w:pPr>
      <w:bookmarkStart w:id="79" w:name="_Toc11866"/>
      <w:r>
        <w:lastRenderedPageBreak/>
        <w:t>APPENDICES</w:t>
      </w:r>
      <w:bookmarkEnd w:id="79"/>
      <w:r>
        <w:tab/>
      </w:r>
    </w:p>
    <w:p w14:paraId="386074B5" w14:textId="77777777" w:rsidR="0099599B" w:rsidRDefault="00EB7A3F">
      <w:pPr>
        <w:pStyle w:val="Heading2"/>
      </w:pPr>
      <w:bookmarkStart w:id="80" w:name="_Ref24439"/>
      <w:bookmarkStart w:id="81" w:name="_Toc29321"/>
      <w:r>
        <w:t>Appendice 1</w:t>
      </w:r>
      <w:bookmarkEnd w:id="80"/>
      <w:r>
        <w:t xml:space="preserve"> – Matrix of Function</w:t>
      </w:r>
      <w:bookmarkEnd w:id="81"/>
    </w:p>
    <w:tbl>
      <w:tblPr>
        <w:tblW w:w="0" w:type="auto"/>
        <w:tblInd w:w="-1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4A0" w:firstRow="1" w:lastRow="0" w:firstColumn="1" w:lastColumn="0" w:noHBand="0" w:noVBand="1"/>
      </w:tblPr>
      <w:tblGrid>
        <w:gridCol w:w="8504"/>
      </w:tblGrid>
      <w:tr w:rsidR="0099599B" w14:paraId="6A074408" w14:textId="77777777">
        <w:trPr>
          <w:trHeight w:val="368"/>
        </w:trPr>
        <w:tc>
          <w:tcPr>
            <w:tcW w:w="8504" w:type="dxa"/>
            <w:tcBorders>
              <w:bottom w:val="single" w:sz="4" w:space="0" w:color="231F20"/>
            </w:tcBorders>
            <w:shd w:val="clear" w:color="auto" w:fill="D9DADB"/>
          </w:tcPr>
          <w:p w14:paraId="676A09CF" w14:textId="77777777" w:rsidR="0099599B" w:rsidRDefault="00EB7A3F">
            <w:pPr>
              <w:widowControl w:val="0"/>
              <w:tabs>
                <w:tab w:val="left" w:pos="2464"/>
              </w:tabs>
              <w:autoSpaceDE w:val="0"/>
              <w:autoSpaceDN w:val="0"/>
              <w:spacing w:before="58" w:after="0" w:line="240" w:lineRule="auto"/>
              <w:ind w:left="109"/>
              <w:rPr>
                <w:rFonts w:eastAsia="Carlito"/>
                <w:b/>
                <w:sz w:val="21"/>
              </w:rPr>
            </w:pPr>
            <w:r>
              <w:rPr>
                <w:rFonts w:eastAsia="Carlito"/>
                <w:b/>
                <w:color w:val="231F20"/>
                <w:w w:val="105"/>
                <w:sz w:val="21"/>
              </w:rPr>
              <w:t>Towns/Village</w:t>
            </w:r>
            <w:r>
              <w:rPr>
                <w:rFonts w:eastAsia="Carlito"/>
                <w:b/>
                <w:color w:val="231F20"/>
                <w:w w:val="105"/>
                <w:sz w:val="21"/>
              </w:rPr>
              <w:tab/>
              <w:t xml:space="preserve">-    ADA EAST        </w:t>
            </w:r>
          </w:p>
        </w:tc>
      </w:tr>
      <w:tr w:rsidR="0099599B" w14:paraId="5FF3DA09" w14:textId="77777777">
        <w:trPr>
          <w:trHeight w:val="383"/>
        </w:trPr>
        <w:tc>
          <w:tcPr>
            <w:tcW w:w="8504" w:type="dxa"/>
            <w:tcBorders>
              <w:top w:val="single" w:sz="4" w:space="0" w:color="231F20"/>
            </w:tcBorders>
            <w:shd w:val="clear" w:color="auto" w:fill="D9DADB"/>
          </w:tcPr>
          <w:p w14:paraId="33C9CE15" w14:textId="77777777" w:rsidR="0099599B" w:rsidRDefault="00EB7A3F">
            <w:pPr>
              <w:widowControl w:val="0"/>
              <w:tabs>
                <w:tab w:val="left" w:pos="5872"/>
              </w:tabs>
              <w:autoSpaceDE w:val="0"/>
              <w:autoSpaceDN w:val="0"/>
              <w:spacing w:before="6" w:after="0" w:line="240" w:lineRule="auto"/>
              <w:ind w:left="109"/>
              <w:rPr>
                <w:rFonts w:eastAsia="Carlito"/>
                <w:b/>
                <w:sz w:val="21"/>
              </w:rPr>
            </w:pPr>
            <w:r>
              <w:rPr>
                <w:rFonts w:eastAsia="Carlito"/>
                <w:b/>
                <w:color w:val="231F20"/>
                <w:w w:val="105"/>
                <w:sz w:val="21"/>
              </w:rPr>
              <w:t>Total population of</w:t>
            </w:r>
            <w:r>
              <w:rPr>
                <w:rFonts w:eastAsia="Carlito"/>
                <w:b/>
                <w:color w:val="231F20"/>
                <w:spacing w:val="-12"/>
                <w:w w:val="105"/>
                <w:sz w:val="21"/>
              </w:rPr>
              <w:t xml:space="preserve"> </w:t>
            </w:r>
            <w:r>
              <w:rPr>
                <w:rFonts w:eastAsia="Carlito"/>
                <w:b/>
                <w:color w:val="231F20"/>
                <w:w w:val="105"/>
                <w:sz w:val="21"/>
              </w:rPr>
              <w:t>village</w:t>
            </w:r>
            <w:r>
              <w:rPr>
                <w:rFonts w:eastAsia="Carlito"/>
                <w:b/>
                <w:color w:val="231F20"/>
                <w:spacing w:val="-4"/>
                <w:w w:val="105"/>
                <w:sz w:val="21"/>
              </w:rPr>
              <w:t xml:space="preserve"> </w:t>
            </w:r>
            <w:r>
              <w:rPr>
                <w:rFonts w:eastAsia="Carlito"/>
                <w:b/>
                <w:color w:val="231F20"/>
                <w:w w:val="105"/>
                <w:sz w:val="21"/>
              </w:rPr>
              <w:t>tract/ward</w:t>
            </w:r>
            <w:r>
              <w:rPr>
                <w:rFonts w:eastAsia="Carlito"/>
                <w:b/>
                <w:color w:val="231F20"/>
                <w:w w:val="105"/>
                <w:sz w:val="21"/>
              </w:rPr>
              <w:tab/>
              <w:t>/</w:t>
            </w:r>
          </w:p>
        </w:tc>
      </w:tr>
    </w:tbl>
    <w:p w14:paraId="29008661" w14:textId="77777777" w:rsidR="0099599B" w:rsidRDefault="0099599B"/>
    <w:tbl>
      <w:tblPr>
        <w:tblW w:w="0" w:type="auto"/>
        <w:tblInd w:w="-1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4A0" w:firstRow="1" w:lastRow="0" w:firstColumn="1" w:lastColumn="0" w:noHBand="0" w:noVBand="1"/>
      </w:tblPr>
      <w:tblGrid>
        <w:gridCol w:w="1701"/>
        <w:gridCol w:w="4397"/>
        <w:gridCol w:w="701"/>
        <w:gridCol w:w="627"/>
        <w:gridCol w:w="627"/>
        <w:gridCol w:w="627"/>
        <w:gridCol w:w="627"/>
      </w:tblGrid>
      <w:tr w:rsidR="0099599B" w14:paraId="035E2A64" w14:textId="77777777">
        <w:trPr>
          <w:trHeight w:val="501"/>
        </w:trPr>
        <w:tc>
          <w:tcPr>
            <w:tcW w:w="1701" w:type="dxa"/>
            <w:vMerge w:val="restart"/>
            <w:tcBorders>
              <w:right w:val="single" w:sz="2" w:space="0" w:color="231F20"/>
            </w:tcBorders>
          </w:tcPr>
          <w:p w14:paraId="142FFB6D" w14:textId="77777777" w:rsidR="0099599B" w:rsidRDefault="00EB7A3F">
            <w:pPr>
              <w:widowControl w:val="0"/>
              <w:autoSpaceDE w:val="0"/>
              <w:autoSpaceDN w:val="0"/>
              <w:spacing w:before="44" w:after="0" w:line="252" w:lineRule="auto"/>
              <w:ind w:left="109" w:right="472"/>
              <w:jc w:val="center"/>
              <w:rPr>
                <w:rFonts w:eastAsia="Carlito"/>
                <w:bCs/>
                <w:color w:val="231F20"/>
                <w:w w:val="105"/>
                <w:sz w:val="20"/>
                <w:szCs w:val="20"/>
              </w:rPr>
            </w:pPr>
            <w:r>
              <w:rPr>
                <w:rFonts w:eastAsia="Carlito"/>
                <w:bCs/>
                <w:color w:val="231F20"/>
                <w:w w:val="105"/>
                <w:sz w:val="20"/>
                <w:szCs w:val="20"/>
              </w:rPr>
              <w:t>Category</w:t>
            </w:r>
          </w:p>
        </w:tc>
        <w:tc>
          <w:tcPr>
            <w:tcW w:w="4397" w:type="dxa"/>
            <w:vMerge w:val="restart"/>
            <w:tcBorders>
              <w:left w:val="single" w:sz="2" w:space="0" w:color="231F20"/>
              <w:right w:val="single" w:sz="2" w:space="0" w:color="231F20"/>
            </w:tcBorders>
          </w:tcPr>
          <w:p w14:paraId="0FCD4351" w14:textId="77777777" w:rsidR="0099599B" w:rsidRDefault="00EB7A3F">
            <w:pPr>
              <w:widowControl w:val="0"/>
              <w:autoSpaceDE w:val="0"/>
              <w:autoSpaceDN w:val="0"/>
              <w:spacing w:before="126" w:after="0" w:line="252" w:lineRule="auto"/>
              <w:ind w:left="153" w:right="45"/>
              <w:jc w:val="center"/>
              <w:rPr>
                <w:rFonts w:eastAsia="Carlito"/>
                <w:bCs/>
                <w:color w:val="231F20"/>
                <w:w w:val="105"/>
                <w:sz w:val="20"/>
                <w:szCs w:val="20"/>
              </w:rPr>
            </w:pPr>
            <w:r>
              <w:rPr>
                <w:rFonts w:eastAsia="Carlito"/>
                <w:bCs/>
                <w:color w:val="231F20"/>
                <w:w w:val="105"/>
                <w:sz w:val="20"/>
                <w:szCs w:val="20"/>
              </w:rPr>
              <w:t>Name</w:t>
            </w:r>
            <w:r>
              <w:rPr>
                <w:rFonts w:eastAsia="Carlito"/>
                <w:bCs/>
                <w:color w:val="231F20"/>
                <w:w w:val="105"/>
                <w:sz w:val="20"/>
                <w:szCs w:val="20"/>
              </w:rPr>
              <w:tab/>
              <w:t>of</w:t>
            </w:r>
            <w:r>
              <w:rPr>
                <w:rFonts w:eastAsia="Carlito"/>
                <w:bCs/>
                <w:color w:val="231F20"/>
                <w:w w:val="105"/>
                <w:sz w:val="20"/>
                <w:szCs w:val="20"/>
              </w:rPr>
              <w:tab/>
              <w:t>function</w:t>
            </w:r>
          </w:p>
        </w:tc>
        <w:tc>
          <w:tcPr>
            <w:tcW w:w="1328" w:type="dxa"/>
            <w:gridSpan w:val="2"/>
            <w:tcBorders>
              <w:left w:val="single" w:sz="2" w:space="0" w:color="231F20"/>
              <w:bottom w:val="single" w:sz="2" w:space="0" w:color="231F20"/>
            </w:tcBorders>
          </w:tcPr>
          <w:p w14:paraId="509C2F2D"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Presence</w:t>
            </w:r>
          </w:p>
        </w:tc>
        <w:tc>
          <w:tcPr>
            <w:tcW w:w="1881" w:type="dxa"/>
            <w:gridSpan w:val="3"/>
            <w:tcBorders>
              <w:left w:val="single" w:sz="2" w:space="0" w:color="231F20"/>
              <w:bottom w:val="single" w:sz="2" w:space="0" w:color="231F20"/>
            </w:tcBorders>
          </w:tcPr>
          <w:p w14:paraId="12CAA665"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No. Available in town/village</w:t>
            </w:r>
          </w:p>
        </w:tc>
      </w:tr>
      <w:tr w:rsidR="0099599B" w14:paraId="28D54CC4" w14:textId="77777777">
        <w:trPr>
          <w:trHeight w:val="302"/>
        </w:trPr>
        <w:tc>
          <w:tcPr>
            <w:tcW w:w="1701" w:type="dxa"/>
            <w:vMerge/>
            <w:tcBorders>
              <w:right w:val="single" w:sz="2" w:space="0" w:color="231F20"/>
            </w:tcBorders>
          </w:tcPr>
          <w:p w14:paraId="4E8CEC8F" w14:textId="77777777" w:rsidR="0099599B" w:rsidRDefault="0099599B">
            <w:pPr>
              <w:widowControl w:val="0"/>
              <w:autoSpaceDE w:val="0"/>
              <w:autoSpaceDN w:val="0"/>
              <w:spacing w:before="44" w:after="0" w:line="252" w:lineRule="auto"/>
              <w:ind w:left="109" w:right="472"/>
              <w:jc w:val="center"/>
              <w:rPr>
                <w:rFonts w:eastAsia="Carlito"/>
                <w:bCs/>
                <w:color w:val="231F20"/>
                <w:w w:val="105"/>
                <w:sz w:val="20"/>
                <w:szCs w:val="20"/>
              </w:rPr>
            </w:pPr>
          </w:p>
        </w:tc>
        <w:tc>
          <w:tcPr>
            <w:tcW w:w="4397" w:type="dxa"/>
            <w:vMerge/>
            <w:tcBorders>
              <w:left w:val="single" w:sz="2" w:space="0" w:color="231F20"/>
              <w:bottom w:val="single" w:sz="2" w:space="0" w:color="231F20"/>
              <w:right w:val="single" w:sz="2" w:space="0" w:color="231F20"/>
            </w:tcBorders>
          </w:tcPr>
          <w:p w14:paraId="0F5C0690" w14:textId="77777777" w:rsidR="0099599B" w:rsidRDefault="0099599B">
            <w:pPr>
              <w:widowControl w:val="0"/>
              <w:autoSpaceDE w:val="0"/>
              <w:autoSpaceDN w:val="0"/>
              <w:spacing w:before="126" w:after="0" w:line="252" w:lineRule="auto"/>
              <w:ind w:left="153" w:right="45"/>
              <w:jc w:val="center"/>
              <w:rPr>
                <w:rFonts w:eastAsia="Carlito"/>
                <w:bCs/>
                <w:color w:val="231F20"/>
                <w:w w:val="105"/>
                <w:sz w:val="20"/>
                <w:szCs w:val="20"/>
              </w:rPr>
            </w:pPr>
          </w:p>
        </w:tc>
        <w:tc>
          <w:tcPr>
            <w:tcW w:w="701" w:type="dxa"/>
            <w:tcBorders>
              <w:left w:val="single" w:sz="2" w:space="0" w:color="231F20"/>
              <w:bottom w:val="single" w:sz="2" w:space="0" w:color="231F20"/>
            </w:tcBorders>
          </w:tcPr>
          <w:p w14:paraId="58748945"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Yes</w:t>
            </w:r>
          </w:p>
        </w:tc>
        <w:tc>
          <w:tcPr>
            <w:tcW w:w="627" w:type="dxa"/>
            <w:tcBorders>
              <w:left w:val="single" w:sz="2" w:space="0" w:color="231F20"/>
              <w:bottom w:val="single" w:sz="2" w:space="0" w:color="231F20"/>
            </w:tcBorders>
          </w:tcPr>
          <w:p w14:paraId="09C2F66F"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No</w:t>
            </w:r>
          </w:p>
        </w:tc>
        <w:tc>
          <w:tcPr>
            <w:tcW w:w="627" w:type="dxa"/>
            <w:tcBorders>
              <w:left w:val="single" w:sz="2" w:space="0" w:color="231F20"/>
              <w:bottom w:val="single" w:sz="2" w:space="0" w:color="231F20"/>
            </w:tcBorders>
          </w:tcPr>
          <w:p w14:paraId="1774B60D"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1-5</w:t>
            </w:r>
          </w:p>
        </w:tc>
        <w:tc>
          <w:tcPr>
            <w:tcW w:w="627" w:type="dxa"/>
            <w:tcBorders>
              <w:left w:val="single" w:sz="2" w:space="0" w:color="231F20"/>
              <w:bottom w:val="single" w:sz="2" w:space="0" w:color="231F20"/>
            </w:tcBorders>
          </w:tcPr>
          <w:p w14:paraId="7378CD43"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6-10</w:t>
            </w:r>
          </w:p>
        </w:tc>
        <w:tc>
          <w:tcPr>
            <w:tcW w:w="627" w:type="dxa"/>
            <w:tcBorders>
              <w:left w:val="single" w:sz="2" w:space="0" w:color="231F20"/>
              <w:bottom w:val="single" w:sz="2" w:space="0" w:color="231F20"/>
            </w:tcBorders>
          </w:tcPr>
          <w:p w14:paraId="7C677A8C" w14:textId="77777777" w:rsidR="0099599B" w:rsidRDefault="00EB7A3F">
            <w:pPr>
              <w:widowControl w:val="0"/>
              <w:autoSpaceDE w:val="0"/>
              <w:autoSpaceDN w:val="0"/>
              <w:spacing w:after="0" w:line="240" w:lineRule="auto"/>
              <w:jc w:val="center"/>
              <w:rPr>
                <w:rFonts w:eastAsia="Carlito"/>
                <w:bCs/>
                <w:sz w:val="20"/>
                <w:szCs w:val="20"/>
              </w:rPr>
            </w:pPr>
            <w:r>
              <w:rPr>
                <w:rFonts w:eastAsia="Carlito"/>
                <w:bCs/>
                <w:sz w:val="20"/>
                <w:szCs w:val="20"/>
              </w:rPr>
              <w:t>10+</w:t>
            </w:r>
          </w:p>
        </w:tc>
      </w:tr>
      <w:tr w:rsidR="0099599B" w14:paraId="47AB43A9" w14:textId="77777777">
        <w:trPr>
          <w:trHeight w:val="420"/>
        </w:trPr>
        <w:tc>
          <w:tcPr>
            <w:tcW w:w="1701" w:type="dxa"/>
            <w:vMerge w:val="restart"/>
            <w:tcBorders>
              <w:right w:val="single" w:sz="2" w:space="0" w:color="231F20"/>
            </w:tcBorders>
          </w:tcPr>
          <w:p w14:paraId="19EEB114" w14:textId="77777777" w:rsidR="0099599B" w:rsidRDefault="00EB7A3F">
            <w:pPr>
              <w:widowControl w:val="0"/>
              <w:autoSpaceDE w:val="0"/>
              <w:autoSpaceDN w:val="0"/>
              <w:spacing w:before="44" w:after="0" w:line="252" w:lineRule="auto"/>
              <w:ind w:left="109" w:right="472"/>
              <w:rPr>
                <w:rFonts w:eastAsia="Carlito"/>
                <w:b/>
                <w:sz w:val="20"/>
                <w:szCs w:val="20"/>
              </w:rPr>
            </w:pPr>
            <w:r>
              <w:rPr>
                <w:rFonts w:eastAsia="Carlito"/>
                <w:b/>
                <w:color w:val="231F20"/>
                <w:w w:val="105"/>
                <w:sz w:val="20"/>
                <w:szCs w:val="20"/>
              </w:rPr>
              <w:t>1. Public utilities and facilities</w:t>
            </w:r>
          </w:p>
          <w:p w14:paraId="750C16BE" w14:textId="77777777" w:rsidR="0099599B" w:rsidRDefault="00EB7A3F">
            <w:pPr>
              <w:widowControl w:val="0"/>
              <w:autoSpaceDE w:val="0"/>
              <w:autoSpaceDN w:val="0"/>
              <w:spacing w:after="0" w:line="255" w:lineRule="exact"/>
              <w:ind w:left="254"/>
              <w:rPr>
                <w:rFonts w:eastAsia="Carlito"/>
                <w:b/>
                <w:sz w:val="20"/>
                <w:szCs w:val="20"/>
              </w:rPr>
            </w:pPr>
            <w:r>
              <w:rPr>
                <w:rFonts w:eastAsia="Carlito"/>
                <w:b/>
                <w:color w:val="231F20"/>
                <w:w w:val="102"/>
                <w:sz w:val="20"/>
                <w:szCs w:val="20"/>
              </w:rPr>
              <w:t>.</w:t>
            </w:r>
          </w:p>
        </w:tc>
        <w:tc>
          <w:tcPr>
            <w:tcW w:w="4397" w:type="dxa"/>
            <w:tcBorders>
              <w:left w:val="single" w:sz="2" w:space="0" w:color="231F20"/>
              <w:bottom w:val="single" w:sz="2" w:space="0" w:color="231F20"/>
              <w:right w:val="single" w:sz="2" w:space="0" w:color="231F20"/>
            </w:tcBorders>
          </w:tcPr>
          <w:p w14:paraId="6BD165FD" w14:textId="77777777" w:rsidR="0099599B" w:rsidRDefault="00EB7A3F">
            <w:pPr>
              <w:widowControl w:val="0"/>
              <w:autoSpaceDE w:val="0"/>
              <w:autoSpaceDN w:val="0"/>
              <w:spacing w:before="126" w:after="0" w:line="252" w:lineRule="auto"/>
              <w:ind w:left="153" w:right="45"/>
              <w:rPr>
                <w:rFonts w:eastAsia="Carlito"/>
                <w:sz w:val="20"/>
                <w:szCs w:val="20"/>
              </w:rPr>
            </w:pPr>
            <w:r>
              <w:rPr>
                <w:rFonts w:eastAsia="Carlito"/>
                <w:color w:val="231F20"/>
                <w:w w:val="105"/>
                <w:sz w:val="20"/>
                <w:szCs w:val="20"/>
              </w:rPr>
              <w:t>1.1. Access or connectivity</w:t>
            </w:r>
            <w:r>
              <w:rPr>
                <w:rFonts w:eastAsia="Carlito"/>
                <w:color w:val="231F20"/>
                <w:w w:val="105"/>
                <w:sz w:val="20"/>
                <w:szCs w:val="20"/>
              </w:rPr>
              <w:tab/>
            </w:r>
          </w:p>
        </w:tc>
        <w:tc>
          <w:tcPr>
            <w:tcW w:w="701" w:type="dxa"/>
            <w:tcBorders>
              <w:left w:val="single" w:sz="2" w:space="0" w:color="231F20"/>
              <w:bottom w:val="single" w:sz="2" w:space="0" w:color="231F20"/>
            </w:tcBorders>
            <w:vAlign w:val="bottom"/>
          </w:tcPr>
          <w:p w14:paraId="5B429B90"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left w:val="single" w:sz="2" w:space="0" w:color="231F20"/>
              <w:bottom w:val="single" w:sz="2" w:space="0" w:color="231F20"/>
            </w:tcBorders>
            <w:vAlign w:val="bottom"/>
          </w:tcPr>
          <w:p w14:paraId="2556B882"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left w:val="single" w:sz="2" w:space="0" w:color="231F20"/>
              <w:bottom w:val="single" w:sz="2" w:space="0" w:color="231F20"/>
            </w:tcBorders>
            <w:vAlign w:val="bottom"/>
          </w:tcPr>
          <w:p w14:paraId="0AF11ADD"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left w:val="single" w:sz="2" w:space="0" w:color="231F20"/>
              <w:bottom w:val="single" w:sz="2" w:space="0" w:color="231F20"/>
            </w:tcBorders>
            <w:vAlign w:val="bottom"/>
          </w:tcPr>
          <w:p w14:paraId="5EA03646"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left w:val="single" w:sz="2" w:space="0" w:color="231F20"/>
              <w:bottom w:val="single" w:sz="2" w:space="0" w:color="231F20"/>
            </w:tcBorders>
            <w:vAlign w:val="bottom"/>
          </w:tcPr>
          <w:p w14:paraId="434EF8CA"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5D5E99B6" w14:textId="77777777">
        <w:trPr>
          <w:trHeight w:val="421"/>
        </w:trPr>
        <w:tc>
          <w:tcPr>
            <w:tcW w:w="1701" w:type="dxa"/>
            <w:vMerge/>
            <w:tcBorders>
              <w:top w:val="nil"/>
              <w:right w:val="single" w:sz="2" w:space="0" w:color="231F20"/>
            </w:tcBorders>
          </w:tcPr>
          <w:p w14:paraId="104F81EA"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5537A77A" w14:textId="77777777" w:rsidR="0099599B" w:rsidRDefault="00EB7A3F">
            <w:pPr>
              <w:widowControl w:val="0"/>
              <w:autoSpaceDE w:val="0"/>
              <w:autoSpaceDN w:val="0"/>
              <w:spacing w:before="18" w:after="0" w:line="240" w:lineRule="auto"/>
              <w:ind w:left="153"/>
              <w:rPr>
                <w:rFonts w:eastAsia="Carlito"/>
                <w:sz w:val="20"/>
                <w:szCs w:val="20"/>
              </w:rPr>
            </w:pPr>
            <w:r>
              <w:rPr>
                <w:rFonts w:eastAsia="Carlito"/>
                <w:color w:val="231F20"/>
                <w:w w:val="105"/>
                <w:sz w:val="20"/>
                <w:szCs w:val="20"/>
              </w:rPr>
              <w:t>1.2. Radio station/Access</w:t>
            </w:r>
          </w:p>
        </w:tc>
        <w:tc>
          <w:tcPr>
            <w:tcW w:w="701" w:type="dxa"/>
            <w:tcBorders>
              <w:top w:val="single" w:sz="2" w:space="0" w:color="231F20"/>
              <w:left w:val="single" w:sz="2" w:space="0" w:color="231F20"/>
              <w:bottom w:val="single" w:sz="2" w:space="0" w:color="231F20"/>
            </w:tcBorders>
            <w:vAlign w:val="bottom"/>
          </w:tcPr>
          <w:p w14:paraId="5320D95F"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2E3FFA7D"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6779533E"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347B5674"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7AB06D50" w14:textId="77777777" w:rsidR="0099599B" w:rsidRDefault="0099599B">
            <w:pPr>
              <w:widowControl w:val="0"/>
              <w:autoSpaceDE w:val="0"/>
              <w:autoSpaceDN w:val="0"/>
              <w:spacing w:after="0" w:line="240" w:lineRule="auto"/>
              <w:jc w:val="center"/>
              <w:rPr>
                <w:rFonts w:eastAsia="Carlito"/>
                <w:sz w:val="20"/>
                <w:szCs w:val="20"/>
              </w:rPr>
            </w:pPr>
          </w:p>
        </w:tc>
      </w:tr>
      <w:tr w:rsidR="0099599B" w14:paraId="1AB59CD1" w14:textId="77777777">
        <w:trPr>
          <w:trHeight w:val="334"/>
        </w:trPr>
        <w:tc>
          <w:tcPr>
            <w:tcW w:w="1701" w:type="dxa"/>
            <w:vMerge/>
            <w:tcBorders>
              <w:top w:val="nil"/>
              <w:right w:val="single" w:sz="2" w:space="0" w:color="231F20"/>
            </w:tcBorders>
          </w:tcPr>
          <w:p w14:paraId="113BBA81"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3B6EA31B" w14:textId="77777777" w:rsidR="0099599B" w:rsidRDefault="00EB7A3F">
            <w:pPr>
              <w:widowControl w:val="0"/>
              <w:autoSpaceDE w:val="0"/>
              <w:autoSpaceDN w:val="0"/>
              <w:spacing w:before="51" w:after="0" w:line="240" w:lineRule="auto"/>
              <w:ind w:left="153"/>
              <w:rPr>
                <w:rFonts w:eastAsia="Carlito"/>
                <w:sz w:val="20"/>
                <w:szCs w:val="20"/>
              </w:rPr>
            </w:pPr>
            <w:r>
              <w:rPr>
                <w:rFonts w:eastAsia="Carlito"/>
                <w:color w:val="231F20"/>
                <w:w w:val="105"/>
                <w:sz w:val="20"/>
                <w:szCs w:val="20"/>
              </w:rPr>
              <w:t>1.3. Post office.</w:t>
            </w:r>
          </w:p>
        </w:tc>
        <w:tc>
          <w:tcPr>
            <w:tcW w:w="701" w:type="dxa"/>
            <w:tcBorders>
              <w:top w:val="single" w:sz="2" w:space="0" w:color="231F20"/>
              <w:left w:val="single" w:sz="2" w:space="0" w:color="231F20"/>
              <w:bottom w:val="single" w:sz="2" w:space="0" w:color="231F20"/>
            </w:tcBorders>
            <w:vAlign w:val="bottom"/>
          </w:tcPr>
          <w:p w14:paraId="1E741E26"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67B55B63"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37FDF06"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4B9BBEE6"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0F74F9A" w14:textId="77777777" w:rsidR="0099599B" w:rsidRDefault="0099599B">
            <w:pPr>
              <w:widowControl w:val="0"/>
              <w:autoSpaceDE w:val="0"/>
              <w:autoSpaceDN w:val="0"/>
              <w:spacing w:after="0" w:line="240" w:lineRule="auto"/>
              <w:jc w:val="center"/>
              <w:rPr>
                <w:rFonts w:eastAsia="Carlito"/>
                <w:sz w:val="20"/>
                <w:szCs w:val="20"/>
              </w:rPr>
            </w:pPr>
          </w:p>
        </w:tc>
      </w:tr>
      <w:tr w:rsidR="0099599B" w14:paraId="0EC192B4" w14:textId="77777777">
        <w:trPr>
          <w:trHeight w:val="363"/>
        </w:trPr>
        <w:tc>
          <w:tcPr>
            <w:tcW w:w="1701" w:type="dxa"/>
            <w:vMerge/>
            <w:tcBorders>
              <w:top w:val="nil"/>
              <w:right w:val="single" w:sz="2" w:space="0" w:color="231F20"/>
            </w:tcBorders>
          </w:tcPr>
          <w:p w14:paraId="444DB78C"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7487437B" w14:textId="77777777" w:rsidR="0099599B" w:rsidRDefault="00EB7A3F">
            <w:pPr>
              <w:widowControl w:val="0"/>
              <w:autoSpaceDE w:val="0"/>
              <w:autoSpaceDN w:val="0"/>
              <w:spacing w:before="18" w:after="0" w:line="240" w:lineRule="auto"/>
              <w:ind w:left="153"/>
              <w:rPr>
                <w:rFonts w:eastAsia="Carlito"/>
                <w:sz w:val="20"/>
                <w:szCs w:val="20"/>
              </w:rPr>
            </w:pPr>
            <w:r>
              <w:rPr>
                <w:rFonts w:eastAsia="Carlito"/>
                <w:color w:val="231F20"/>
                <w:w w:val="105"/>
                <w:sz w:val="20"/>
                <w:szCs w:val="20"/>
              </w:rPr>
              <w:t>1.4. Rainwater harvest.</w:t>
            </w:r>
          </w:p>
        </w:tc>
        <w:tc>
          <w:tcPr>
            <w:tcW w:w="701" w:type="dxa"/>
            <w:tcBorders>
              <w:top w:val="single" w:sz="2" w:space="0" w:color="231F20"/>
              <w:left w:val="single" w:sz="2" w:space="0" w:color="231F20"/>
              <w:bottom w:val="single" w:sz="2" w:space="0" w:color="231F20"/>
            </w:tcBorders>
            <w:vAlign w:val="bottom"/>
          </w:tcPr>
          <w:p w14:paraId="0434CCC9"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78A0DB4F"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4E0A70EA"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019AADBC"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2607A7EA"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2B022A67" w14:textId="77777777">
        <w:trPr>
          <w:trHeight w:val="368"/>
        </w:trPr>
        <w:tc>
          <w:tcPr>
            <w:tcW w:w="1701" w:type="dxa"/>
            <w:vMerge/>
            <w:tcBorders>
              <w:top w:val="nil"/>
              <w:bottom w:val="nil"/>
              <w:right w:val="single" w:sz="2" w:space="0" w:color="231F20"/>
            </w:tcBorders>
          </w:tcPr>
          <w:p w14:paraId="3325C870"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4B8745FE" w14:textId="77777777" w:rsidR="0099599B" w:rsidRDefault="00EB7A3F">
            <w:pPr>
              <w:widowControl w:val="0"/>
              <w:autoSpaceDE w:val="0"/>
              <w:autoSpaceDN w:val="0"/>
              <w:spacing w:before="18" w:after="0" w:line="240" w:lineRule="auto"/>
              <w:ind w:left="153"/>
              <w:rPr>
                <w:rFonts w:eastAsia="Carlito"/>
                <w:sz w:val="20"/>
                <w:szCs w:val="20"/>
              </w:rPr>
            </w:pPr>
            <w:r>
              <w:rPr>
                <w:rFonts w:eastAsia="Carlito"/>
                <w:color w:val="231F20"/>
                <w:w w:val="105"/>
                <w:sz w:val="20"/>
                <w:szCs w:val="20"/>
              </w:rPr>
              <w:t>1.5. Usable wells</w:t>
            </w:r>
          </w:p>
        </w:tc>
        <w:tc>
          <w:tcPr>
            <w:tcW w:w="701" w:type="dxa"/>
            <w:tcBorders>
              <w:top w:val="single" w:sz="2" w:space="0" w:color="231F20"/>
              <w:left w:val="single" w:sz="2" w:space="0" w:color="231F20"/>
              <w:bottom w:val="single" w:sz="2" w:space="0" w:color="231F20"/>
            </w:tcBorders>
            <w:vAlign w:val="bottom"/>
          </w:tcPr>
          <w:p w14:paraId="1F95068B"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3328B573"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BC5C409"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2CFE5D2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548200C"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6B58EB5D" w14:textId="77777777">
        <w:trPr>
          <w:trHeight w:val="368"/>
        </w:trPr>
        <w:tc>
          <w:tcPr>
            <w:tcW w:w="1701" w:type="dxa"/>
            <w:tcBorders>
              <w:top w:val="nil"/>
              <w:bottom w:val="nil"/>
              <w:right w:val="single" w:sz="2" w:space="0" w:color="231F20"/>
            </w:tcBorders>
          </w:tcPr>
          <w:p w14:paraId="0D21742F" w14:textId="77777777" w:rsidR="0099599B" w:rsidRDefault="0099599B">
            <w:pPr>
              <w:widowControl w:val="0"/>
              <w:autoSpaceDE w:val="0"/>
              <w:autoSpaceDN w:val="0"/>
              <w:spacing w:after="0" w:line="240" w:lineRule="auto"/>
              <w:rPr>
                <w:rFonts w:eastAsia="Carlito"/>
                <w:sz w:val="20"/>
                <w:szCs w:val="20"/>
              </w:rPr>
            </w:pPr>
          </w:p>
          <w:p w14:paraId="5772DC7B" w14:textId="77777777" w:rsidR="0099599B" w:rsidRDefault="0099599B">
            <w:pPr>
              <w:widowControl w:val="0"/>
              <w:autoSpaceDE w:val="0"/>
              <w:autoSpaceDN w:val="0"/>
              <w:spacing w:after="0" w:line="240" w:lineRule="auto"/>
              <w:rPr>
                <w:rFonts w:eastAsia="Carlito"/>
                <w:sz w:val="20"/>
                <w:szCs w:val="20"/>
              </w:rPr>
            </w:pPr>
          </w:p>
          <w:p w14:paraId="6C81375E"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34360570"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1.6. Pipe borne water.</w:t>
            </w:r>
          </w:p>
        </w:tc>
        <w:tc>
          <w:tcPr>
            <w:tcW w:w="701" w:type="dxa"/>
            <w:tcBorders>
              <w:top w:val="single" w:sz="2" w:space="0" w:color="231F20"/>
              <w:left w:val="single" w:sz="2" w:space="0" w:color="231F20"/>
              <w:bottom w:val="single" w:sz="2" w:space="0" w:color="231F20"/>
            </w:tcBorders>
            <w:vAlign w:val="bottom"/>
          </w:tcPr>
          <w:p w14:paraId="177B6FEF"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7581D9EB"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192121F"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2BCDEB9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5D36F13"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69896933" w14:textId="77777777">
        <w:trPr>
          <w:trHeight w:val="368"/>
        </w:trPr>
        <w:tc>
          <w:tcPr>
            <w:tcW w:w="1701" w:type="dxa"/>
            <w:tcBorders>
              <w:top w:val="nil"/>
              <w:bottom w:val="nil"/>
              <w:right w:val="single" w:sz="2" w:space="0" w:color="231F20"/>
            </w:tcBorders>
          </w:tcPr>
          <w:p w14:paraId="4D4A4938" w14:textId="77777777" w:rsidR="0099599B" w:rsidRDefault="0099599B">
            <w:pPr>
              <w:widowControl w:val="0"/>
              <w:autoSpaceDE w:val="0"/>
              <w:autoSpaceDN w:val="0"/>
              <w:spacing w:after="0" w:line="240" w:lineRule="auto"/>
              <w:rPr>
                <w:rFonts w:eastAsia="Carlito"/>
                <w:sz w:val="20"/>
                <w:szCs w:val="20"/>
              </w:rPr>
            </w:pPr>
          </w:p>
          <w:p w14:paraId="35E7BBB1" w14:textId="77777777" w:rsidR="0099599B" w:rsidRDefault="0099599B">
            <w:pPr>
              <w:widowControl w:val="0"/>
              <w:autoSpaceDE w:val="0"/>
              <w:autoSpaceDN w:val="0"/>
              <w:spacing w:after="0" w:line="240" w:lineRule="auto"/>
              <w:rPr>
                <w:rFonts w:eastAsia="Carlito"/>
                <w:sz w:val="20"/>
                <w:szCs w:val="20"/>
              </w:rPr>
            </w:pPr>
          </w:p>
          <w:p w14:paraId="161840AE"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3B7622B6"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1.7. Irrigation system for farming.</w:t>
            </w:r>
          </w:p>
        </w:tc>
        <w:tc>
          <w:tcPr>
            <w:tcW w:w="701" w:type="dxa"/>
            <w:tcBorders>
              <w:top w:val="single" w:sz="2" w:space="0" w:color="231F20"/>
              <w:left w:val="single" w:sz="2" w:space="0" w:color="231F20"/>
              <w:bottom w:val="single" w:sz="2" w:space="0" w:color="231F20"/>
            </w:tcBorders>
            <w:vAlign w:val="bottom"/>
          </w:tcPr>
          <w:p w14:paraId="3E1E6F3E"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309E702C"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494208DF"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055B386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78F24F4"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26F20912" w14:textId="77777777">
        <w:trPr>
          <w:trHeight w:val="368"/>
        </w:trPr>
        <w:tc>
          <w:tcPr>
            <w:tcW w:w="1701" w:type="dxa"/>
            <w:tcBorders>
              <w:top w:val="nil"/>
              <w:bottom w:val="nil"/>
              <w:right w:val="single" w:sz="2" w:space="0" w:color="231F20"/>
            </w:tcBorders>
          </w:tcPr>
          <w:p w14:paraId="5795AB15"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23D13180"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1.8. Private solar panel electricity supply.</w:t>
            </w:r>
          </w:p>
        </w:tc>
        <w:tc>
          <w:tcPr>
            <w:tcW w:w="701" w:type="dxa"/>
            <w:tcBorders>
              <w:top w:val="single" w:sz="2" w:space="0" w:color="231F20"/>
              <w:left w:val="single" w:sz="2" w:space="0" w:color="231F20"/>
              <w:bottom w:val="single" w:sz="2" w:space="0" w:color="231F20"/>
            </w:tcBorders>
            <w:vAlign w:val="bottom"/>
          </w:tcPr>
          <w:p w14:paraId="2B64D26B"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55E92152"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6BB02772"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5FE62664"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B5BAC69" w14:textId="77777777" w:rsidR="0099599B" w:rsidRDefault="0099599B">
            <w:pPr>
              <w:widowControl w:val="0"/>
              <w:autoSpaceDE w:val="0"/>
              <w:autoSpaceDN w:val="0"/>
              <w:spacing w:after="0" w:line="240" w:lineRule="auto"/>
              <w:jc w:val="center"/>
              <w:rPr>
                <w:rFonts w:eastAsia="Carlito"/>
                <w:sz w:val="20"/>
                <w:szCs w:val="20"/>
              </w:rPr>
            </w:pPr>
          </w:p>
        </w:tc>
      </w:tr>
      <w:tr w:rsidR="0099599B" w14:paraId="1CE1E1F8" w14:textId="77777777">
        <w:trPr>
          <w:trHeight w:val="379"/>
        </w:trPr>
        <w:tc>
          <w:tcPr>
            <w:tcW w:w="1701" w:type="dxa"/>
            <w:tcBorders>
              <w:top w:val="nil"/>
              <w:bottom w:val="nil"/>
              <w:right w:val="single" w:sz="2" w:space="0" w:color="231F20"/>
            </w:tcBorders>
          </w:tcPr>
          <w:p w14:paraId="2E52B19C"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35747EBF" w14:textId="77777777" w:rsidR="0099599B" w:rsidRDefault="00EB7A3F">
            <w:pPr>
              <w:widowControl w:val="0"/>
              <w:autoSpaceDE w:val="0"/>
              <w:autoSpaceDN w:val="0"/>
              <w:spacing w:before="142" w:after="0" w:line="240" w:lineRule="auto"/>
              <w:ind w:left="153"/>
              <w:rPr>
                <w:rFonts w:eastAsia="Carlito"/>
                <w:color w:val="231F20"/>
                <w:w w:val="105"/>
                <w:sz w:val="20"/>
                <w:szCs w:val="20"/>
              </w:rPr>
            </w:pPr>
            <w:r>
              <w:rPr>
                <w:rFonts w:eastAsia="Carlito"/>
                <w:color w:val="231F20"/>
                <w:w w:val="105"/>
                <w:sz w:val="20"/>
                <w:szCs w:val="20"/>
              </w:rPr>
              <w:t>1.9. Public Electricity Network on Grid</w:t>
            </w:r>
          </w:p>
        </w:tc>
        <w:tc>
          <w:tcPr>
            <w:tcW w:w="701" w:type="dxa"/>
            <w:tcBorders>
              <w:top w:val="single" w:sz="2" w:space="0" w:color="231F20"/>
              <w:left w:val="single" w:sz="2" w:space="0" w:color="231F20"/>
              <w:bottom w:val="single" w:sz="2" w:space="0" w:color="231F20"/>
            </w:tcBorders>
            <w:vAlign w:val="bottom"/>
          </w:tcPr>
          <w:p w14:paraId="512F2D64"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19ED4486"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E6A916F"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95A377A"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50F093B"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0DF0733D" w14:textId="77777777">
        <w:trPr>
          <w:trHeight w:val="368"/>
        </w:trPr>
        <w:tc>
          <w:tcPr>
            <w:tcW w:w="1701" w:type="dxa"/>
            <w:tcBorders>
              <w:top w:val="nil"/>
              <w:bottom w:val="nil"/>
              <w:right w:val="single" w:sz="2" w:space="0" w:color="231F20"/>
            </w:tcBorders>
          </w:tcPr>
          <w:p w14:paraId="20A6B027"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35C07F77"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1.10. Sewerage drainage /gutters.</w:t>
            </w:r>
          </w:p>
        </w:tc>
        <w:tc>
          <w:tcPr>
            <w:tcW w:w="701" w:type="dxa"/>
            <w:tcBorders>
              <w:top w:val="single" w:sz="2" w:space="0" w:color="231F20"/>
              <w:left w:val="single" w:sz="2" w:space="0" w:color="231F20"/>
              <w:bottom w:val="single" w:sz="2" w:space="0" w:color="231F20"/>
            </w:tcBorders>
            <w:vAlign w:val="bottom"/>
          </w:tcPr>
          <w:p w14:paraId="34E6D405"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16608ADA"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0BB882B"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05638B3A"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56E0ECFC" w14:textId="77777777" w:rsidR="0099599B" w:rsidRDefault="0099599B">
            <w:pPr>
              <w:widowControl w:val="0"/>
              <w:autoSpaceDE w:val="0"/>
              <w:autoSpaceDN w:val="0"/>
              <w:spacing w:after="0" w:line="240" w:lineRule="auto"/>
              <w:jc w:val="center"/>
              <w:rPr>
                <w:rFonts w:eastAsia="Carlito"/>
                <w:sz w:val="20"/>
                <w:szCs w:val="20"/>
              </w:rPr>
            </w:pPr>
          </w:p>
        </w:tc>
      </w:tr>
      <w:tr w:rsidR="0099599B" w14:paraId="69DC0B74" w14:textId="77777777">
        <w:trPr>
          <w:trHeight w:val="368"/>
        </w:trPr>
        <w:tc>
          <w:tcPr>
            <w:tcW w:w="1701" w:type="dxa"/>
            <w:tcBorders>
              <w:top w:val="nil"/>
              <w:bottom w:val="single" w:sz="12" w:space="0" w:color="231F20"/>
              <w:right w:val="single" w:sz="2" w:space="0" w:color="231F20"/>
            </w:tcBorders>
          </w:tcPr>
          <w:p w14:paraId="5C81B005"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12" w:space="0" w:color="231F20"/>
              <w:right w:val="single" w:sz="2" w:space="0" w:color="231F20"/>
            </w:tcBorders>
          </w:tcPr>
          <w:p w14:paraId="764A86E1"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1.11. Storm water drainage system/big gutters.</w:t>
            </w:r>
          </w:p>
        </w:tc>
        <w:tc>
          <w:tcPr>
            <w:tcW w:w="701" w:type="dxa"/>
            <w:tcBorders>
              <w:top w:val="single" w:sz="2" w:space="0" w:color="231F20"/>
              <w:left w:val="single" w:sz="2" w:space="0" w:color="231F20"/>
              <w:bottom w:val="single" w:sz="12" w:space="0" w:color="231F20"/>
            </w:tcBorders>
            <w:vAlign w:val="bottom"/>
          </w:tcPr>
          <w:p w14:paraId="2425687D"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4A265BE6"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12" w:space="0" w:color="231F20"/>
            </w:tcBorders>
            <w:vAlign w:val="bottom"/>
          </w:tcPr>
          <w:p w14:paraId="3CA07440"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72989217"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62296A33" w14:textId="77777777" w:rsidR="0099599B" w:rsidRDefault="0099599B">
            <w:pPr>
              <w:widowControl w:val="0"/>
              <w:autoSpaceDE w:val="0"/>
              <w:autoSpaceDN w:val="0"/>
              <w:spacing w:after="0" w:line="240" w:lineRule="auto"/>
              <w:jc w:val="center"/>
              <w:rPr>
                <w:rFonts w:eastAsia="Carlito"/>
                <w:sz w:val="20"/>
                <w:szCs w:val="20"/>
              </w:rPr>
            </w:pPr>
          </w:p>
        </w:tc>
      </w:tr>
      <w:tr w:rsidR="0099599B" w14:paraId="4A1F318F" w14:textId="77777777">
        <w:trPr>
          <w:trHeight w:val="368"/>
        </w:trPr>
        <w:tc>
          <w:tcPr>
            <w:tcW w:w="1701" w:type="dxa"/>
            <w:vMerge w:val="restart"/>
            <w:tcBorders>
              <w:top w:val="single" w:sz="12" w:space="0" w:color="231F20"/>
              <w:right w:val="single" w:sz="2" w:space="0" w:color="231F20"/>
            </w:tcBorders>
          </w:tcPr>
          <w:p w14:paraId="39B054AE" w14:textId="77777777" w:rsidR="0099599B" w:rsidRDefault="0099599B">
            <w:pPr>
              <w:widowControl w:val="0"/>
              <w:autoSpaceDE w:val="0"/>
              <w:autoSpaceDN w:val="0"/>
              <w:spacing w:after="0" w:line="240" w:lineRule="auto"/>
              <w:rPr>
                <w:rFonts w:eastAsia="Carlito"/>
                <w:sz w:val="20"/>
                <w:szCs w:val="20"/>
              </w:rPr>
            </w:pPr>
          </w:p>
          <w:p w14:paraId="3CAD747F" w14:textId="77777777" w:rsidR="0099599B" w:rsidRDefault="0099599B">
            <w:pPr>
              <w:widowControl w:val="0"/>
              <w:autoSpaceDE w:val="0"/>
              <w:autoSpaceDN w:val="0"/>
              <w:spacing w:after="0" w:line="240" w:lineRule="auto"/>
              <w:rPr>
                <w:rFonts w:eastAsia="Carlito"/>
                <w:sz w:val="20"/>
                <w:szCs w:val="20"/>
              </w:rPr>
            </w:pPr>
          </w:p>
          <w:p w14:paraId="655B0B72" w14:textId="77777777" w:rsidR="0099599B" w:rsidRDefault="0099599B">
            <w:pPr>
              <w:widowControl w:val="0"/>
              <w:autoSpaceDE w:val="0"/>
              <w:autoSpaceDN w:val="0"/>
              <w:spacing w:after="0" w:line="240" w:lineRule="auto"/>
              <w:rPr>
                <w:rFonts w:eastAsia="Carlito"/>
                <w:sz w:val="20"/>
                <w:szCs w:val="20"/>
              </w:rPr>
            </w:pPr>
          </w:p>
          <w:p w14:paraId="70D2F00C" w14:textId="77777777" w:rsidR="0099599B" w:rsidRDefault="0099599B">
            <w:pPr>
              <w:widowControl w:val="0"/>
              <w:autoSpaceDE w:val="0"/>
              <w:autoSpaceDN w:val="0"/>
              <w:spacing w:after="0" w:line="240" w:lineRule="auto"/>
              <w:rPr>
                <w:rFonts w:eastAsia="Carlito"/>
                <w:sz w:val="20"/>
                <w:szCs w:val="20"/>
              </w:rPr>
            </w:pPr>
          </w:p>
          <w:p w14:paraId="6750022E" w14:textId="77777777" w:rsidR="0099599B" w:rsidRDefault="00EB7A3F">
            <w:pPr>
              <w:widowControl w:val="0"/>
              <w:autoSpaceDE w:val="0"/>
              <w:autoSpaceDN w:val="0"/>
              <w:spacing w:after="0" w:line="252" w:lineRule="auto"/>
              <w:ind w:left="109"/>
              <w:rPr>
                <w:rFonts w:eastAsia="Carlito"/>
                <w:b/>
                <w:sz w:val="20"/>
                <w:szCs w:val="20"/>
              </w:rPr>
            </w:pPr>
            <w:r>
              <w:rPr>
                <w:rFonts w:eastAsia="Carlito"/>
                <w:b/>
                <w:color w:val="231F20"/>
                <w:w w:val="105"/>
                <w:sz w:val="20"/>
                <w:szCs w:val="20"/>
              </w:rPr>
              <w:t>2. Road Connection and Transportation Infrastructure</w:t>
            </w:r>
          </w:p>
          <w:p w14:paraId="03708870"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12" w:space="0" w:color="231F20"/>
              <w:left w:val="single" w:sz="2" w:space="0" w:color="231F20"/>
              <w:bottom w:val="single" w:sz="2" w:space="0" w:color="231F20"/>
              <w:right w:val="single" w:sz="2" w:space="0" w:color="231F20"/>
            </w:tcBorders>
          </w:tcPr>
          <w:p w14:paraId="0F2EEF7B"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2.1. Paved/tarred roads.</w:t>
            </w:r>
          </w:p>
        </w:tc>
        <w:tc>
          <w:tcPr>
            <w:tcW w:w="701" w:type="dxa"/>
            <w:tcBorders>
              <w:top w:val="single" w:sz="12" w:space="0" w:color="231F20"/>
              <w:left w:val="single" w:sz="2" w:space="0" w:color="231F20"/>
              <w:bottom w:val="single" w:sz="2" w:space="0" w:color="231F20"/>
            </w:tcBorders>
            <w:vAlign w:val="bottom"/>
          </w:tcPr>
          <w:p w14:paraId="16A5FD67"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12" w:space="0" w:color="231F20"/>
              <w:left w:val="single" w:sz="2" w:space="0" w:color="231F20"/>
              <w:bottom w:val="single" w:sz="2" w:space="0" w:color="231F20"/>
            </w:tcBorders>
            <w:vAlign w:val="bottom"/>
          </w:tcPr>
          <w:p w14:paraId="78F72956"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12" w:space="0" w:color="231F20"/>
              <w:left w:val="single" w:sz="2" w:space="0" w:color="231F20"/>
              <w:bottom w:val="single" w:sz="2" w:space="0" w:color="231F20"/>
            </w:tcBorders>
            <w:vAlign w:val="bottom"/>
          </w:tcPr>
          <w:p w14:paraId="3CF9CF0A"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12" w:space="0" w:color="231F20"/>
              <w:left w:val="single" w:sz="2" w:space="0" w:color="231F20"/>
              <w:bottom w:val="single" w:sz="2" w:space="0" w:color="231F20"/>
            </w:tcBorders>
            <w:vAlign w:val="bottom"/>
          </w:tcPr>
          <w:p w14:paraId="568883C7"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12" w:space="0" w:color="231F20"/>
              <w:left w:val="single" w:sz="2" w:space="0" w:color="231F20"/>
              <w:bottom w:val="single" w:sz="2" w:space="0" w:color="231F20"/>
            </w:tcBorders>
            <w:vAlign w:val="bottom"/>
          </w:tcPr>
          <w:p w14:paraId="4E345EA1" w14:textId="77777777" w:rsidR="0099599B" w:rsidRDefault="0099599B">
            <w:pPr>
              <w:widowControl w:val="0"/>
              <w:autoSpaceDE w:val="0"/>
              <w:autoSpaceDN w:val="0"/>
              <w:spacing w:after="0" w:line="240" w:lineRule="auto"/>
              <w:jc w:val="center"/>
              <w:rPr>
                <w:rFonts w:eastAsia="Carlito"/>
                <w:sz w:val="20"/>
                <w:szCs w:val="20"/>
              </w:rPr>
            </w:pPr>
          </w:p>
        </w:tc>
      </w:tr>
      <w:tr w:rsidR="0099599B" w14:paraId="1B8F6EC1" w14:textId="77777777">
        <w:trPr>
          <w:trHeight w:val="368"/>
        </w:trPr>
        <w:tc>
          <w:tcPr>
            <w:tcW w:w="1701" w:type="dxa"/>
            <w:vMerge/>
            <w:tcBorders>
              <w:right w:val="single" w:sz="2" w:space="0" w:color="231F20"/>
            </w:tcBorders>
          </w:tcPr>
          <w:p w14:paraId="29BD2A72"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591215AE"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2.2. Unpaved/untarred roads.</w:t>
            </w:r>
          </w:p>
        </w:tc>
        <w:tc>
          <w:tcPr>
            <w:tcW w:w="701" w:type="dxa"/>
            <w:tcBorders>
              <w:top w:val="single" w:sz="2" w:space="0" w:color="231F20"/>
              <w:left w:val="single" w:sz="2" w:space="0" w:color="231F20"/>
              <w:bottom w:val="single" w:sz="2" w:space="0" w:color="231F20"/>
            </w:tcBorders>
            <w:vAlign w:val="bottom"/>
          </w:tcPr>
          <w:p w14:paraId="25D68BE1"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32C0FE2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0E2AF41"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036A13FA"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78D1C9D"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3D7AD2C7" w14:textId="77777777">
        <w:trPr>
          <w:trHeight w:val="368"/>
        </w:trPr>
        <w:tc>
          <w:tcPr>
            <w:tcW w:w="1701" w:type="dxa"/>
            <w:vMerge/>
            <w:tcBorders>
              <w:right w:val="single" w:sz="2" w:space="0" w:color="231F20"/>
            </w:tcBorders>
          </w:tcPr>
          <w:p w14:paraId="6898B309"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451940B4"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2.3. Public transportation daily basis.</w:t>
            </w:r>
          </w:p>
        </w:tc>
        <w:tc>
          <w:tcPr>
            <w:tcW w:w="701" w:type="dxa"/>
            <w:tcBorders>
              <w:top w:val="single" w:sz="2" w:space="0" w:color="231F20"/>
              <w:left w:val="single" w:sz="2" w:space="0" w:color="231F20"/>
              <w:bottom w:val="single" w:sz="2" w:space="0" w:color="231F20"/>
            </w:tcBorders>
            <w:vAlign w:val="bottom"/>
          </w:tcPr>
          <w:p w14:paraId="74D40A76"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05A23F3E"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3C60D011"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691AEBE6"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48D8BA95"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35B1B9CD" w14:textId="77777777">
        <w:trPr>
          <w:trHeight w:val="368"/>
        </w:trPr>
        <w:tc>
          <w:tcPr>
            <w:tcW w:w="1701" w:type="dxa"/>
            <w:vMerge/>
            <w:tcBorders>
              <w:right w:val="single" w:sz="2" w:space="0" w:color="231F20"/>
            </w:tcBorders>
          </w:tcPr>
          <w:p w14:paraId="2BF4DE4E"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2" w:space="0" w:color="231F20"/>
              <w:right w:val="single" w:sz="2" w:space="0" w:color="231F20"/>
            </w:tcBorders>
          </w:tcPr>
          <w:p w14:paraId="6C013126"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2.4. Bus Station.</w:t>
            </w:r>
          </w:p>
        </w:tc>
        <w:tc>
          <w:tcPr>
            <w:tcW w:w="701" w:type="dxa"/>
            <w:tcBorders>
              <w:top w:val="single" w:sz="2" w:space="0" w:color="231F20"/>
              <w:left w:val="single" w:sz="2" w:space="0" w:color="231F20"/>
              <w:bottom w:val="single" w:sz="2" w:space="0" w:color="231F20"/>
            </w:tcBorders>
            <w:vAlign w:val="bottom"/>
          </w:tcPr>
          <w:p w14:paraId="04C75E58"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2" w:space="0" w:color="231F20"/>
            </w:tcBorders>
            <w:vAlign w:val="bottom"/>
          </w:tcPr>
          <w:p w14:paraId="6F7AF9DB"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5BD046FC"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60401846"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2" w:space="0" w:color="231F20"/>
            </w:tcBorders>
            <w:vAlign w:val="bottom"/>
          </w:tcPr>
          <w:p w14:paraId="15F01065"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r>
      <w:tr w:rsidR="0099599B" w14:paraId="4864FF68" w14:textId="77777777">
        <w:trPr>
          <w:trHeight w:val="368"/>
        </w:trPr>
        <w:tc>
          <w:tcPr>
            <w:tcW w:w="1701" w:type="dxa"/>
            <w:vMerge/>
            <w:tcBorders>
              <w:bottom w:val="single" w:sz="12" w:space="0" w:color="231F20"/>
              <w:right w:val="single" w:sz="2" w:space="0" w:color="231F20"/>
            </w:tcBorders>
          </w:tcPr>
          <w:p w14:paraId="7E31AF68"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4" w:space="0" w:color="auto"/>
              <w:left w:val="single" w:sz="2" w:space="0" w:color="231F20"/>
              <w:bottom w:val="single" w:sz="12" w:space="0" w:color="231F20"/>
              <w:right w:val="single" w:sz="2" w:space="0" w:color="231F20"/>
            </w:tcBorders>
          </w:tcPr>
          <w:p w14:paraId="532322FD"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2.5. Petrol filling Station</w:t>
            </w:r>
          </w:p>
        </w:tc>
        <w:tc>
          <w:tcPr>
            <w:tcW w:w="701" w:type="dxa"/>
            <w:tcBorders>
              <w:top w:val="single" w:sz="2" w:space="0" w:color="231F20"/>
              <w:left w:val="single" w:sz="2" w:space="0" w:color="231F20"/>
              <w:bottom w:val="single" w:sz="12" w:space="0" w:color="231F20"/>
            </w:tcBorders>
            <w:vAlign w:val="bottom"/>
          </w:tcPr>
          <w:p w14:paraId="060227A5"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12" w:space="0" w:color="231F20"/>
            </w:tcBorders>
            <w:vAlign w:val="bottom"/>
          </w:tcPr>
          <w:p w14:paraId="1BB78F5A"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6C034230"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540F2B1D"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12" w:space="0" w:color="231F20"/>
            </w:tcBorders>
            <w:vAlign w:val="bottom"/>
          </w:tcPr>
          <w:p w14:paraId="64F5E527" w14:textId="77777777" w:rsidR="0099599B" w:rsidRDefault="0099599B">
            <w:pPr>
              <w:widowControl w:val="0"/>
              <w:autoSpaceDE w:val="0"/>
              <w:autoSpaceDN w:val="0"/>
              <w:spacing w:after="0" w:line="240" w:lineRule="auto"/>
              <w:jc w:val="center"/>
              <w:rPr>
                <w:rFonts w:eastAsia="Carlito"/>
                <w:sz w:val="20"/>
                <w:szCs w:val="20"/>
              </w:rPr>
            </w:pPr>
          </w:p>
        </w:tc>
      </w:tr>
      <w:tr w:rsidR="0099599B" w14:paraId="792AF4B3" w14:textId="77777777">
        <w:trPr>
          <w:trHeight w:val="368"/>
        </w:trPr>
        <w:tc>
          <w:tcPr>
            <w:tcW w:w="1701" w:type="dxa"/>
            <w:vMerge w:val="restart"/>
            <w:tcBorders>
              <w:top w:val="single" w:sz="12" w:space="0" w:color="231F20"/>
              <w:right w:val="single" w:sz="2" w:space="0" w:color="231F20"/>
            </w:tcBorders>
          </w:tcPr>
          <w:p w14:paraId="65A70462" w14:textId="77777777" w:rsidR="0099599B" w:rsidRDefault="00EB7A3F">
            <w:pPr>
              <w:widowControl w:val="0"/>
              <w:autoSpaceDE w:val="0"/>
              <w:autoSpaceDN w:val="0"/>
              <w:spacing w:after="0" w:line="240" w:lineRule="auto"/>
              <w:ind w:left="109"/>
              <w:rPr>
                <w:rFonts w:eastAsia="Carlito"/>
                <w:b/>
                <w:sz w:val="20"/>
                <w:szCs w:val="20"/>
              </w:rPr>
            </w:pPr>
            <w:r>
              <w:rPr>
                <w:rFonts w:eastAsia="Carlito"/>
                <w:b/>
                <w:color w:val="231F20"/>
                <w:w w:val="105"/>
                <w:sz w:val="20"/>
                <w:szCs w:val="20"/>
              </w:rPr>
              <w:t>3. Markets</w:t>
            </w:r>
          </w:p>
          <w:p w14:paraId="53600801"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12" w:space="0" w:color="231F20"/>
              <w:left w:val="single" w:sz="2" w:space="0" w:color="231F20"/>
              <w:bottom w:val="single" w:sz="2" w:space="0" w:color="231F20"/>
              <w:right w:val="nil"/>
            </w:tcBorders>
          </w:tcPr>
          <w:p w14:paraId="261FF77D" w14:textId="77777777" w:rsidR="0099599B" w:rsidRDefault="00EB7A3F">
            <w:pPr>
              <w:widowControl w:val="0"/>
              <w:autoSpaceDE w:val="0"/>
              <w:autoSpaceDN w:val="0"/>
              <w:spacing w:before="18" w:after="0" w:line="240" w:lineRule="auto"/>
              <w:ind w:left="153"/>
              <w:rPr>
                <w:rFonts w:eastAsia="Carlito"/>
                <w:color w:val="231F20"/>
                <w:w w:val="105"/>
                <w:sz w:val="20"/>
                <w:szCs w:val="20"/>
              </w:rPr>
            </w:pPr>
            <w:r>
              <w:rPr>
                <w:rFonts w:eastAsia="Carlito"/>
                <w:color w:val="231F20"/>
                <w:w w:val="105"/>
                <w:sz w:val="20"/>
                <w:szCs w:val="20"/>
              </w:rPr>
              <w:t>3.1. Local Market</w:t>
            </w:r>
          </w:p>
        </w:tc>
        <w:tc>
          <w:tcPr>
            <w:tcW w:w="701" w:type="dxa"/>
            <w:tcBorders>
              <w:top w:val="single" w:sz="12" w:space="0" w:color="231F20"/>
              <w:left w:val="single" w:sz="2" w:space="0" w:color="231F20"/>
              <w:bottom w:val="single" w:sz="2" w:space="0" w:color="231F20"/>
            </w:tcBorders>
            <w:vAlign w:val="bottom"/>
          </w:tcPr>
          <w:p w14:paraId="33664A2E"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12" w:space="0" w:color="231F20"/>
              <w:left w:val="single" w:sz="2" w:space="0" w:color="231F20"/>
              <w:bottom w:val="single" w:sz="2" w:space="0" w:color="231F20"/>
            </w:tcBorders>
            <w:vAlign w:val="bottom"/>
          </w:tcPr>
          <w:p w14:paraId="7638A36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12" w:space="0" w:color="231F20"/>
              <w:left w:val="single" w:sz="2" w:space="0" w:color="231F20"/>
              <w:bottom w:val="single" w:sz="2" w:space="0" w:color="231F20"/>
            </w:tcBorders>
            <w:vAlign w:val="bottom"/>
          </w:tcPr>
          <w:p w14:paraId="75E14DFA"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12" w:space="0" w:color="231F20"/>
              <w:left w:val="single" w:sz="2" w:space="0" w:color="231F20"/>
              <w:bottom w:val="single" w:sz="2" w:space="0" w:color="231F20"/>
            </w:tcBorders>
            <w:vAlign w:val="bottom"/>
          </w:tcPr>
          <w:p w14:paraId="5F796C6D"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12" w:space="0" w:color="231F20"/>
              <w:left w:val="single" w:sz="2" w:space="0" w:color="231F20"/>
              <w:bottom w:val="single" w:sz="2" w:space="0" w:color="231F20"/>
            </w:tcBorders>
            <w:vAlign w:val="bottom"/>
          </w:tcPr>
          <w:p w14:paraId="50416E22" w14:textId="77777777" w:rsidR="0099599B" w:rsidRDefault="0099599B">
            <w:pPr>
              <w:widowControl w:val="0"/>
              <w:autoSpaceDE w:val="0"/>
              <w:autoSpaceDN w:val="0"/>
              <w:spacing w:after="0" w:line="240" w:lineRule="auto"/>
              <w:jc w:val="center"/>
              <w:rPr>
                <w:rFonts w:eastAsia="Carlito"/>
                <w:sz w:val="20"/>
                <w:szCs w:val="20"/>
              </w:rPr>
            </w:pPr>
          </w:p>
        </w:tc>
      </w:tr>
      <w:tr w:rsidR="0099599B" w14:paraId="2613CE48" w14:textId="77777777">
        <w:trPr>
          <w:trHeight w:val="368"/>
        </w:trPr>
        <w:tc>
          <w:tcPr>
            <w:tcW w:w="1701" w:type="dxa"/>
            <w:vMerge/>
            <w:tcBorders>
              <w:bottom w:val="single" w:sz="12" w:space="0" w:color="231F20"/>
              <w:right w:val="single" w:sz="2" w:space="0" w:color="231F20"/>
            </w:tcBorders>
          </w:tcPr>
          <w:p w14:paraId="7FFA7BDF" w14:textId="77777777" w:rsidR="0099599B" w:rsidRDefault="0099599B">
            <w:pPr>
              <w:widowControl w:val="0"/>
              <w:autoSpaceDE w:val="0"/>
              <w:autoSpaceDN w:val="0"/>
              <w:spacing w:after="0" w:line="240" w:lineRule="auto"/>
              <w:rPr>
                <w:rFonts w:eastAsia="Carlito"/>
                <w:sz w:val="20"/>
                <w:szCs w:val="20"/>
              </w:rPr>
            </w:pPr>
          </w:p>
        </w:tc>
        <w:tc>
          <w:tcPr>
            <w:tcW w:w="4397" w:type="dxa"/>
            <w:tcBorders>
              <w:top w:val="single" w:sz="2" w:space="0" w:color="231F20"/>
              <w:left w:val="single" w:sz="2" w:space="0" w:color="231F20"/>
              <w:bottom w:val="single" w:sz="12" w:space="0" w:color="231F20"/>
              <w:right w:val="nil"/>
            </w:tcBorders>
          </w:tcPr>
          <w:p w14:paraId="476F1C29" w14:textId="77777777" w:rsidR="0099599B" w:rsidRDefault="00EB7A3F">
            <w:pPr>
              <w:widowControl w:val="0"/>
              <w:autoSpaceDE w:val="0"/>
              <w:autoSpaceDN w:val="0"/>
              <w:spacing w:before="166" w:after="0" w:line="240" w:lineRule="auto"/>
              <w:ind w:right="46"/>
              <w:rPr>
                <w:rFonts w:eastAsia="Carlito"/>
                <w:sz w:val="20"/>
                <w:szCs w:val="20"/>
              </w:rPr>
            </w:pPr>
            <w:r>
              <w:rPr>
                <w:rFonts w:eastAsia="Carlito"/>
                <w:color w:val="231F20"/>
                <w:w w:val="105"/>
                <w:sz w:val="20"/>
                <w:szCs w:val="20"/>
              </w:rPr>
              <w:t xml:space="preserve">   3.2. Livestock/fish Market</w:t>
            </w:r>
          </w:p>
        </w:tc>
        <w:tc>
          <w:tcPr>
            <w:tcW w:w="701" w:type="dxa"/>
            <w:tcBorders>
              <w:top w:val="single" w:sz="2" w:space="0" w:color="231F20"/>
              <w:left w:val="single" w:sz="2" w:space="0" w:color="231F20"/>
              <w:bottom w:val="single" w:sz="12" w:space="0" w:color="231F20"/>
            </w:tcBorders>
            <w:vAlign w:val="bottom"/>
          </w:tcPr>
          <w:p w14:paraId="0C983E5E"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479D5E16" w14:textId="77777777" w:rsidR="0099599B" w:rsidRDefault="00EB7A3F">
            <w:pPr>
              <w:widowControl w:val="0"/>
              <w:autoSpaceDE w:val="0"/>
              <w:autoSpaceDN w:val="0"/>
              <w:spacing w:after="0" w:line="240" w:lineRule="auto"/>
              <w:jc w:val="center"/>
              <w:rPr>
                <w:rFonts w:eastAsia="Carlito"/>
                <w:sz w:val="20"/>
                <w:szCs w:val="20"/>
              </w:rPr>
            </w:pPr>
            <w:r>
              <w:rPr>
                <w:rFonts w:eastAsia="Carlito"/>
                <w:sz w:val="20"/>
                <w:szCs w:val="20"/>
              </w:rPr>
              <w:t>*</w:t>
            </w:r>
          </w:p>
        </w:tc>
        <w:tc>
          <w:tcPr>
            <w:tcW w:w="627" w:type="dxa"/>
            <w:tcBorders>
              <w:top w:val="single" w:sz="2" w:space="0" w:color="231F20"/>
              <w:left w:val="single" w:sz="2" w:space="0" w:color="231F20"/>
              <w:bottom w:val="single" w:sz="12" w:space="0" w:color="231F20"/>
            </w:tcBorders>
            <w:vAlign w:val="bottom"/>
          </w:tcPr>
          <w:p w14:paraId="7B2F45D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5F970665" w14:textId="77777777" w:rsidR="0099599B" w:rsidRDefault="0099599B">
            <w:pPr>
              <w:widowControl w:val="0"/>
              <w:autoSpaceDE w:val="0"/>
              <w:autoSpaceDN w:val="0"/>
              <w:spacing w:after="0" w:line="240" w:lineRule="auto"/>
              <w:jc w:val="center"/>
              <w:rPr>
                <w:rFonts w:eastAsia="Carlito"/>
                <w:sz w:val="20"/>
                <w:szCs w:val="20"/>
              </w:rPr>
            </w:pPr>
          </w:p>
        </w:tc>
        <w:tc>
          <w:tcPr>
            <w:tcW w:w="627" w:type="dxa"/>
            <w:tcBorders>
              <w:top w:val="single" w:sz="2" w:space="0" w:color="231F20"/>
              <w:left w:val="single" w:sz="2" w:space="0" w:color="231F20"/>
              <w:bottom w:val="single" w:sz="12" w:space="0" w:color="231F20"/>
            </w:tcBorders>
            <w:vAlign w:val="bottom"/>
          </w:tcPr>
          <w:p w14:paraId="3FDD4102" w14:textId="77777777" w:rsidR="0099599B" w:rsidRDefault="0099599B">
            <w:pPr>
              <w:widowControl w:val="0"/>
              <w:autoSpaceDE w:val="0"/>
              <w:autoSpaceDN w:val="0"/>
              <w:spacing w:after="0" w:line="240" w:lineRule="auto"/>
              <w:jc w:val="center"/>
              <w:rPr>
                <w:rFonts w:eastAsia="Carlito"/>
                <w:sz w:val="20"/>
                <w:szCs w:val="20"/>
              </w:rPr>
            </w:pPr>
          </w:p>
        </w:tc>
      </w:tr>
    </w:tbl>
    <w:p w14:paraId="60DD70DA" w14:textId="77777777" w:rsidR="0099599B" w:rsidRDefault="0099599B"/>
    <w:tbl>
      <w:tblPr>
        <w:tblW w:w="9278" w:type="dxa"/>
        <w:tblInd w:w="-1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4A0" w:firstRow="1" w:lastRow="0" w:firstColumn="1" w:lastColumn="0" w:noHBand="0" w:noVBand="1"/>
      </w:tblPr>
      <w:tblGrid>
        <w:gridCol w:w="1845"/>
        <w:gridCol w:w="4239"/>
        <w:gridCol w:w="701"/>
        <w:gridCol w:w="701"/>
        <w:gridCol w:w="642"/>
        <w:gridCol w:w="538"/>
        <w:gridCol w:w="612"/>
      </w:tblGrid>
      <w:tr w:rsidR="0099599B" w14:paraId="022A8F4F" w14:textId="77777777">
        <w:trPr>
          <w:trHeight w:val="501"/>
        </w:trPr>
        <w:tc>
          <w:tcPr>
            <w:tcW w:w="1845" w:type="dxa"/>
            <w:vMerge w:val="restart"/>
            <w:tcBorders>
              <w:right w:val="single" w:sz="2" w:space="0" w:color="231F20"/>
            </w:tcBorders>
          </w:tcPr>
          <w:p w14:paraId="2A3F4D17" w14:textId="77777777" w:rsidR="0099599B" w:rsidRDefault="00EB7A3F">
            <w:pPr>
              <w:widowControl w:val="0"/>
              <w:autoSpaceDE w:val="0"/>
              <w:autoSpaceDN w:val="0"/>
              <w:spacing w:before="44" w:after="0" w:line="252" w:lineRule="auto"/>
              <w:ind w:left="109" w:right="472"/>
              <w:jc w:val="center"/>
              <w:rPr>
                <w:rFonts w:ascii="Carlito" w:eastAsia="Carlito" w:hAnsi="Carlito" w:cs="Carlito"/>
                <w:b/>
                <w:color w:val="231F20"/>
                <w:w w:val="105"/>
                <w:sz w:val="21"/>
              </w:rPr>
            </w:pPr>
            <w:r>
              <w:rPr>
                <w:rFonts w:ascii="Carlito" w:eastAsia="Carlito" w:hAnsi="Carlito" w:cs="Carlito"/>
                <w:b/>
                <w:color w:val="231F20"/>
                <w:w w:val="105"/>
                <w:sz w:val="21"/>
              </w:rPr>
              <w:t>Category</w:t>
            </w:r>
          </w:p>
        </w:tc>
        <w:tc>
          <w:tcPr>
            <w:tcW w:w="4239" w:type="dxa"/>
            <w:vMerge w:val="restart"/>
            <w:tcBorders>
              <w:left w:val="single" w:sz="2" w:space="0" w:color="231F20"/>
              <w:right w:val="single" w:sz="2" w:space="0" w:color="231F20"/>
            </w:tcBorders>
          </w:tcPr>
          <w:p w14:paraId="597D226D" w14:textId="77777777" w:rsidR="0099599B" w:rsidRDefault="00EB7A3F">
            <w:pPr>
              <w:widowControl w:val="0"/>
              <w:autoSpaceDE w:val="0"/>
              <w:autoSpaceDN w:val="0"/>
              <w:spacing w:before="126" w:after="0" w:line="252" w:lineRule="auto"/>
              <w:ind w:left="153" w:right="45"/>
              <w:jc w:val="center"/>
              <w:rPr>
                <w:rFonts w:ascii="Carlito" w:eastAsia="Carlito" w:hAnsi="Carlito" w:cs="Carlito"/>
                <w:b/>
                <w:color w:val="231F20"/>
                <w:w w:val="105"/>
                <w:sz w:val="21"/>
              </w:rPr>
            </w:pPr>
            <w:r>
              <w:rPr>
                <w:rFonts w:ascii="Carlito" w:eastAsia="Carlito" w:hAnsi="Carlito" w:cs="Carlito"/>
                <w:b/>
                <w:color w:val="231F20"/>
                <w:w w:val="105"/>
                <w:sz w:val="21"/>
              </w:rPr>
              <w:t>Name</w:t>
            </w:r>
            <w:r>
              <w:rPr>
                <w:rFonts w:ascii="Carlito" w:eastAsia="Carlito" w:hAnsi="Carlito" w:cs="Carlito"/>
                <w:b/>
                <w:color w:val="231F20"/>
                <w:w w:val="105"/>
                <w:sz w:val="21"/>
              </w:rPr>
              <w:tab/>
              <w:t>of</w:t>
            </w:r>
            <w:r>
              <w:rPr>
                <w:rFonts w:ascii="Carlito" w:eastAsia="Carlito" w:hAnsi="Carlito" w:cs="Carlito"/>
                <w:b/>
                <w:color w:val="231F20"/>
                <w:w w:val="105"/>
                <w:sz w:val="21"/>
              </w:rPr>
              <w:tab/>
              <w:t>function</w:t>
            </w:r>
          </w:p>
        </w:tc>
        <w:tc>
          <w:tcPr>
            <w:tcW w:w="1402" w:type="dxa"/>
            <w:gridSpan w:val="2"/>
            <w:tcBorders>
              <w:left w:val="single" w:sz="2" w:space="0" w:color="231F20"/>
              <w:bottom w:val="single" w:sz="2" w:space="0" w:color="231F20"/>
            </w:tcBorders>
          </w:tcPr>
          <w:p w14:paraId="309E9CD8" w14:textId="77777777" w:rsidR="0099599B" w:rsidRDefault="0099599B">
            <w:pPr>
              <w:widowControl w:val="0"/>
              <w:autoSpaceDE w:val="0"/>
              <w:autoSpaceDN w:val="0"/>
              <w:spacing w:after="0" w:line="240" w:lineRule="auto"/>
              <w:jc w:val="center"/>
              <w:rPr>
                <w:rFonts w:eastAsia="Carlito" w:hAnsi="Carlito" w:cs="Carlito"/>
                <w:b/>
                <w:sz w:val="20"/>
              </w:rPr>
            </w:pPr>
          </w:p>
          <w:p w14:paraId="4FF3DDDD" w14:textId="77777777" w:rsidR="0099599B" w:rsidRDefault="00EB7A3F">
            <w:pPr>
              <w:widowControl w:val="0"/>
              <w:autoSpaceDE w:val="0"/>
              <w:autoSpaceDN w:val="0"/>
              <w:spacing w:after="0" w:line="240" w:lineRule="auto"/>
              <w:jc w:val="center"/>
              <w:rPr>
                <w:rFonts w:eastAsia="Carlito" w:hAnsi="Carlito" w:cs="Carlito"/>
                <w:b/>
                <w:sz w:val="20"/>
              </w:rPr>
            </w:pPr>
            <w:r>
              <w:rPr>
                <w:rFonts w:eastAsia="Carlito" w:hAnsi="Carlito" w:cs="Carlito"/>
                <w:b/>
                <w:sz w:val="20"/>
              </w:rPr>
              <w:t>Presence</w:t>
            </w:r>
          </w:p>
        </w:tc>
        <w:tc>
          <w:tcPr>
            <w:tcW w:w="1792" w:type="dxa"/>
            <w:gridSpan w:val="3"/>
            <w:tcBorders>
              <w:left w:val="single" w:sz="2" w:space="0" w:color="231F20"/>
              <w:bottom w:val="single" w:sz="2" w:space="0" w:color="231F20"/>
            </w:tcBorders>
          </w:tcPr>
          <w:p w14:paraId="5993477E" w14:textId="77777777" w:rsidR="0099599B" w:rsidRDefault="00EB7A3F">
            <w:pPr>
              <w:widowControl w:val="0"/>
              <w:autoSpaceDE w:val="0"/>
              <w:autoSpaceDN w:val="0"/>
              <w:spacing w:after="0" w:line="240" w:lineRule="auto"/>
              <w:jc w:val="center"/>
              <w:rPr>
                <w:rFonts w:eastAsia="Carlito" w:hAnsi="Carlito" w:cs="Carlito"/>
                <w:b/>
                <w:sz w:val="20"/>
              </w:rPr>
            </w:pPr>
            <w:r>
              <w:rPr>
                <w:rFonts w:eastAsia="Carlito" w:hAnsi="Carlito" w:cs="Carlito"/>
                <w:bCs/>
                <w:sz w:val="20"/>
              </w:rPr>
              <w:t>No. Available in town/village</w:t>
            </w:r>
          </w:p>
        </w:tc>
      </w:tr>
      <w:tr w:rsidR="0099599B" w14:paraId="58AD58FD" w14:textId="77777777">
        <w:trPr>
          <w:trHeight w:val="461"/>
        </w:trPr>
        <w:tc>
          <w:tcPr>
            <w:tcW w:w="1845" w:type="dxa"/>
            <w:vMerge/>
            <w:tcBorders>
              <w:right w:val="single" w:sz="2" w:space="0" w:color="231F20"/>
            </w:tcBorders>
          </w:tcPr>
          <w:p w14:paraId="35C877B5" w14:textId="77777777" w:rsidR="0099599B" w:rsidRDefault="0099599B">
            <w:pPr>
              <w:widowControl w:val="0"/>
              <w:autoSpaceDE w:val="0"/>
              <w:autoSpaceDN w:val="0"/>
              <w:spacing w:before="44" w:after="0" w:line="252" w:lineRule="auto"/>
              <w:ind w:left="109" w:right="472"/>
              <w:jc w:val="center"/>
              <w:rPr>
                <w:rFonts w:ascii="Carlito" w:eastAsia="Carlito" w:hAnsi="Carlito" w:cs="Carlito"/>
                <w:b/>
                <w:color w:val="231F20"/>
                <w:w w:val="105"/>
                <w:sz w:val="21"/>
              </w:rPr>
            </w:pPr>
          </w:p>
        </w:tc>
        <w:tc>
          <w:tcPr>
            <w:tcW w:w="4239" w:type="dxa"/>
            <w:vMerge/>
            <w:tcBorders>
              <w:left w:val="single" w:sz="2" w:space="0" w:color="231F20"/>
              <w:bottom w:val="single" w:sz="2" w:space="0" w:color="231F20"/>
              <w:right w:val="single" w:sz="2" w:space="0" w:color="231F20"/>
            </w:tcBorders>
          </w:tcPr>
          <w:p w14:paraId="66A52276" w14:textId="77777777" w:rsidR="0099599B" w:rsidRDefault="0099599B">
            <w:pPr>
              <w:widowControl w:val="0"/>
              <w:autoSpaceDE w:val="0"/>
              <w:autoSpaceDN w:val="0"/>
              <w:spacing w:before="126" w:after="0" w:line="252" w:lineRule="auto"/>
              <w:ind w:left="153" w:right="45"/>
              <w:jc w:val="center"/>
              <w:rPr>
                <w:rFonts w:ascii="Carlito" w:eastAsia="Carlito" w:hAnsi="Carlito" w:cs="Carlito"/>
                <w:b/>
                <w:color w:val="231F20"/>
                <w:w w:val="105"/>
                <w:sz w:val="21"/>
              </w:rPr>
            </w:pPr>
          </w:p>
        </w:tc>
        <w:tc>
          <w:tcPr>
            <w:tcW w:w="701" w:type="dxa"/>
            <w:tcBorders>
              <w:left w:val="single" w:sz="2" w:space="0" w:color="231F20"/>
              <w:bottom w:val="single" w:sz="2" w:space="0" w:color="231F20"/>
            </w:tcBorders>
          </w:tcPr>
          <w:p w14:paraId="6827F330"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Yes</w:t>
            </w:r>
          </w:p>
        </w:tc>
        <w:tc>
          <w:tcPr>
            <w:tcW w:w="701" w:type="dxa"/>
            <w:tcBorders>
              <w:left w:val="single" w:sz="2" w:space="0" w:color="231F20"/>
              <w:bottom w:val="single" w:sz="2" w:space="0" w:color="231F20"/>
            </w:tcBorders>
          </w:tcPr>
          <w:p w14:paraId="5FA96EF9"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No</w:t>
            </w:r>
          </w:p>
        </w:tc>
        <w:tc>
          <w:tcPr>
            <w:tcW w:w="642" w:type="dxa"/>
            <w:tcBorders>
              <w:left w:val="single" w:sz="2" w:space="0" w:color="231F20"/>
              <w:bottom w:val="single" w:sz="2" w:space="0" w:color="231F20"/>
            </w:tcBorders>
          </w:tcPr>
          <w:p w14:paraId="02132DF0"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1-5</w:t>
            </w:r>
          </w:p>
        </w:tc>
        <w:tc>
          <w:tcPr>
            <w:tcW w:w="538" w:type="dxa"/>
            <w:tcBorders>
              <w:left w:val="single" w:sz="2" w:space="0" w:color="231F20"/>
              <w:bottom w:val="single" w:sz="2" w:space="0" w:color="231F20"/>
            </w:tcBorders>
          </w:tcPr>
          <w:p w14:paraId="34D5FDBF"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6-10</w:t>
            </w:r>
          </w:p>
        </w:tc>
        <w:tc>
          <w:tcPr>
            <w:tcW w:w="612" w:type="dxa"/>
            <w:tcBorders>
              <w:left w:val="single" w:sz="2" w:space="0" w:color="231F20"/>
              <w:bottom w:val="single" w:sz="2" w:space="0" w:color="231F20"/>
            </w:tcBorders>
          </w:tcPr>
          <w:p w14:paraId="10744CA7"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10+</w:t>
            </w:r>
          </w:p>
        </w:tc>
      </w:tr>
      <w:tr w:rsidR="0099599B" w14:paraId="7F6725E1" w14:textId="77777777">
        <w:trPr>
          <w:trHeight w:val="519"/>
        </w:trPr>
        <w:tc>
          <w:tcPr>
            <w:tcW w:w="1845" w:type="dxa"/>
            <w:vMerge w:val="restart"/>
            <w:tcBorders>
              <w:right w:val="single" w:sz="2" w:space="0" w:color="231F20"/>
            </w:tcBorders>
          </w:tcPr>
          <w:p w14:paraId="0D3BD634" w14:textId="77777777" w:rsidR="0099599B" w:rsidRDefault="00EB7A3F">
            <w:pPr>
              <w:widowControl w:val="0"/>
              <w:autoSpaceDE w:val="0"/>
              <w:autoSpaceDN w:val="0"/>
              <w:spacing w:before="82" w:after="0" w:line="252" w:lineRule="auto"/>
              <w:ind w:left="109" w:right="88"/>
              <w:rPr>
                <w:rFonts w:ascii="Carlito" w:eastAsia="Carlito" w:hAnsi="Carlito" w:cs="Carlito"/>
                <w:b/>
                <w:sz w:val="21"/>
              </w:rPr>
            </w:pPr>
            <w:r>
              <w:rPr>
                <w:rFonts w:ascii="Carlito" w:eastAsia="Carlito" w:hAnsi="Carlito" w:cs="Carlito"/>
                <w:b/>
                <w:color w:val="231F20"/>
                <w:w w:val="105"/>
                <w:sz w:val="21"/>
              </w:rPr>
              <w:lastRenderedPageBreak/>
              <w:t>4. Industries and</w:t>
            </w:r>
            <w:r>
              <w:rPr>
                <w:rFonts w:ascii="Carlito" w:eastAsia="Carlito" w:hAnsi="Carlito" w:cs="Carlito"/>
                <w:b/>
                <w:color w:val="231F20"/>
                <w:spacing w:val="-16"/>
                <w:w w:val="105"/>
                <w:sz w:val="21"/>
              </w:rPr>
              <w:t xml:space="preserve"> </w:t>
            </w:r>
            <w:r>
              <w:rPr>
                <w:rFonts w:ascii="Carlito" w:eastAsia="Carlito" w:hAnsi="Carlito" w:cs="Carlito"/>
                <w:b/>
                <w:color w:val="231F20"/>
                <w:w w:val="105"/>
                <w:sz w:val="21"/>
              </w:rPr>
              <w:t>Commercial Establishments</w:t>
            </w:r>
          </w:p>
        </w:tc>
        <w:tc>
          <w:tcPr>
            <w:tcW w:w="4239" w:type="dxa"/>
            <w:tcBorders>
              <w:left w:val="single" w:sz="2" w:space="0" w:color="231F20"/>
              <w:bottom w:val="single" w:sz="2" w:space="0" w:color="231F20"/>
              <w:right w:val="single" w:sz="2" w:space="0" w:color="231F20"/>
            </w:tcBorders>
          </w:tcPr>
          <w:p w14:paraId="4B9538C5" w14:textId="77777777" w:rsidR="0099599B" w:rsidRDefault="00EB7A3F">
            <w:pPr>
              <w:widowControl w:val="0"/>
              <w:autoSpaceDE w:val="0"/>
              <w:autoSpaceDN w:val="0"/>
              <w:spacing w:before="222" w:after="0" w:line="240" w:lineRule="auto"/>
              <w:ind w:left="153"/>
              <w:rPr>
                <w:rFonts w:ascii="Carlito" w:eastAsia="Carlito" w:hAnsi="Carlito" w:cs="Carlito"/>
                <w:sz w:val="21"/>
              </w:rPr>
            </w:pPr>
            <w:r>
              <w:rPr>
                <w:rFonts w:ascii="Carlito" w:eastAsia="Carlito" w:hAnsi="Carlito" w:cs="Carlito"/>
                <w:color w:val="231F20"/>
                <w:w w:val="105"/>
                <w:sz w:val="21"/>
              </w:rPr>
              <w:t>4.1. Small basic needs stall</w:t>
            </w:r>
            <w:r>
              <w:rPr>
                <w:rFonts w:ascii="Carlito" w:eastAsia="Carlito" w:hAnsi="Carlito" w:cs="Carlito"/>
                <w:color w:val="231F20"/>
                <w:w w:val="105"/>
                <w:sz w:val="21"/>
              </w:rPr>
              <w:tab/>
            </w:r>
          </w:p>
        </w:tc>
        <w:tc>
          <w:tcPr>
            <w:tcW w:w="701" w:type="dxa"/>
            <w:tcBorders>
              <w:left w:val="single" w:sz="2" w:space="0" w:color="231F20"/>
              <w:bottom w:val="single" w:sz="2" w:space="0" w:color="231F20"/>
            </w:tcBorders>
            <w:vAlign w:val="bottom"/>
          </w:tcPr>
          <w:p w14:paraId="36AFBA07"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left w:val="single" w:sz="2" w:space="0" w:color="231F20"/>
              <w:bottom w:val="single" w:sz="2" w:space="0" w:color="231F20"/>
            </w:tcBorders>
            <w:vAlign w:val="bottom"/>
          </w:tcPr>
          <w:p w14:paraId="0E807DEE"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left w:val="single" w:sz="2" w:space="0" w:color="231F20"/>
              <w:bottom w:val="single" w:sz="2" w:space="0" w:color="231F20"/>
            </w:tcBorders>
            <w:vAlign w:val="bottom"/>
          </w:tcPr>
          <w:p w14:paraId="726BCFB3"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left w:val="single" w:sz="2" w:space="0" w:color="231F20"/>
              <w:bottom w:val="single" w:sz="2" w:space="0" w:color="231F20"/>
            </w:tcBorders>
            <w:vAlign w:val="bottom"/>
          </w:tcPr>
          <w:p w14:paraId="2D0C07BB"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left w:val="single" w:sz="2" w:space="0" w:color="231F20"/>
              <w:bottom w:val="single" w:sz="2" w:space="0" w:color="231F20"/>
            </w:tcBorders>
            <w:vAlign w:val="bottom"/>
          </w:tcPr>
          <w:p w14:paraId="41915498"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2C042EB9" w14:textId="77777777">
        <w:trPr>
          <w:trHeight w:val="421"/>
        </w:trPr>
        <w:tc>
          <w:tcPr>
            <w:tcW w:w="1845" w:type="dxa"/>
            <w:vMerge/>
            <w:tcBorders>
              <w:top w:val="nil"/>
              <w:right w:val="single" w:sz="2" w:space="0" w:color="231F20"/>
            </w:tcBorders>
          </w:tcPr>
          <w:p w14:paraId="332520B3"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32644586" w14:textId="77777777" w:rsidR="0099599B" w:rsidRDefault="00EB7A3F">
            <w:pPr>
              <w:widowControl w:val="0"/>
              <w:autoSpaceDE w:val="0"/>
              <w:autoSpaceDN w:val="0"/>
              <w:spacing w:before="18" w:after="0" w:line="240" w:lineRule="auto"/>
              <w:ind w:left="153"/>
              <w:rPr>
                <w:rFonts w:ascii="Carlito" w:eastAsia="Carlito" w:hAnsi="Carlito" w:cs="Carlito"/>
                <w:sz w:val="21"/>
              </w:rPr>
            </w:pPr>
            <w:r>
              <w:rPr>
                <w:rFonts w:ascii="Carlito" w:eastAsia="Carlito" w:hAnsi="Carlito" w:cs="Carlito"/>
                <w:color w:val="231F20"/>
                <w:w w:val="105"/>
                <w:sz w:val="21"/>
              </w:rPr>
              <w:t xml:space="preserve">4.3. Big retail shop </w:t>
            </w:r>
          </w:p>
        </w:tc>
        <w:tc>
          <w:tcPr>
            <w:tcW w:w="701" w:type="dxa"/>
            <w:tcBorders>
              <w:top w:val="single" w:sz="2" w:space="0" w:color="231F20"/>
              <w:left w:val="single" w:sz="2" w:space="0" w:color="231F20"/>
              <w:bottom w:val="single" w:sz="2" w:space="0" w:color="231F20"/>
            </w:tcBorders>
            <w:vAlign w:val="bottom"/>
          </w:tcPr>
          <w:p w14:paraId="4BCBFEFE"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6C0243E4"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2DF37811"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7051EFED"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12" w:type="dxa"/>
            <w:tcBorders>
              <w:top w:val="single" w:sz="2" w:space="0" w:color="231F20"/>
              <w:left w:val="single" w:sz="2" w:space="0" w:color="231F20"/>
              <w:bottom w:val="single" w:sz="2" w:space="0" w:color="231F20"/>
            </w:tcBorders>
            <w:vAlign w:val="bottom"/>
          </w:tcPr>
          <w:p w14:paraId="126E4971" w14:textId="77777777" w:rsidR="0099599B" w:rsidRDefault="0099599B">
            <w:pPr>
              <w:widowControl w:val="0"/>
              <w:autoSpaceDE w:val="0"/>
              <w:autoSpaceDN w:val="0"/>
              <w:spacing w:after="0" w:line="240" w:lineRule="auto"/>
              <w:jc w:val="center"/>
              <w:rPr>
                <w:rFonts w:eastAsia="Carlito"/>
                <w:sz w:val="28"/>
                <w:szCs w:val="28"/>
              </w:rPr>
            </w:pPr>
          </w:p>
        </w:tc>
      </w:tr>
      <w:tr w:rsidR="0099599B" w14:paraId="57C994CA" w14:textId="77777777">
        <w:trPr>
          <w:trHeight w:val="334"/>
        </w:trPr>
        <w:tc>
          <w:tcPr>
            <w:tcW w:w="1845" w:type="dxa"/>
            <w:vMerge/>
            <w:tcBorders>
              <w:top w:val="nil"/>
              <w:right w:val="single" w:sz="2" w:space="0" w:color="231F20"/>
            </w:tcBorders>
          </w:tcPr>
          <w:p w14:paraId="37812B4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7166F65F" w14:textId="77777777" w:rsidR="0099599B" w:rsidRDefault="00EB7A3F">
            <w:pPr>
              <w:widowControl w:val="0"/>
              <w:autoSpaceDE w:val="0"/>
              <w:autoSpaceDN w:val="0"/>
              <w:spacing w:before="51" w:after="0" w:line="240" w:lineRule="auto"/>
              <w:ind w:left="153"/>
              <w:rPr>
                <w:rFonts w:ascii="Carlito" w:eastAsia="Carlito" w:hAnsi="Carlito" w:cs="Carlito"/>
                <w:sz w:val="21"/>
              </w:rPr>
            </w:pPr>
            <w:r>
              <w:rPr>
                <w:rFonts w:ascii="Carlito" w:eastAsia="Carlito" w:hAnsi="Carlito" w:cs="Carlito"/>
                <w:color w:val="231F20"/>
                <w:w w:val="105"/>
                <w:sz w:val="21"/>
              </w:rPr>
              <w:t xml:space="preserve">4.4. Restaurant/chopbar </w:t>
            </w:r>
          </w:p>
        </w:tc>
        <w:tc>
          <w:tcPr>
            <w:tcW w:w="701" w:type="dxa"/>
            <w:tcBorders>
              <w:top w:val="single" w:sz="2" w:space="0" w:color="231F20"/>
              <w:left w:val="single" w:sz="2" w:space="0" w:color="231F20"/>
              <w:bottom w:val="single" w:sz="2" w:space="0" w:color="231F20"/>
            </w:tcBorders>
            <w:vAlign w:val="bottom"/>
          </w:tcPr>
          <w:p w14:paraId="16068CB5"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1450A857"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7556C800"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1D43A342"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46DAED2C"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3A58040C" w14:textId="77777777">
        <w:trPr>
          <w:trHeight w:val="363"/>
        </w:trPr>
        <w:tc>
          <w:tcPr>
            <w:tcW w:w="1845" w:type="dxa"/>
            <w:vMerge/>
            <w:tcBorders>
              <w:top w:val="nil"/>
              <w:right w:val="single" w:sz="2" w:space="0" w:color="231F20"/>
            </w:tcBorders>
          </w:tcPr>
          <w:p w14:paraId="6B5DE11F"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0B925701" w14:textId="77777777" w:rsidR="0099599B" w:rsidRDefault="00EB7A3F">
            <w:pPr>
              <w:widowControl w:val="0"/>
              <w:autoSpaceDE w:val="0"/>
              <w:autoSpaceDN w:val="0"/>
              <w:spacing w:before="18" w:after="0" w:line="240" w:lineRule="auto"/>
              <w:ind w:left="153"/>
              <w:rPr>
                <w:rFonts w:ascii="Carlito" w:eastAsia="Carlito" w:hAnsi="Carlito" w:cs="Carlito"/>
                <w:sz w:val="21"/>
              </w:rPr>
            </w:pPr>
            <w:r>
              <w:rPr>
                <w:rFonts w:ascii="Carlito" w:eastAsia="Carlito" w:hAnsi="Carlito" w:cs="Carlito"/>
                <w:color w:val="231F20"/>
                <w:w w:val="105"/>
                <w:sz w:val="21"/>
              </w:rPr>
              <w:t>4.5. Hotel/guest house.</w:t>
            </w:r>
          </w:p>
        </w:tc>
        <w:tc>
          <w:tcPr>
            <w:tcW w:w="701" w:type="dxa"/>
            <w:tcBorders>
              <w:top w:val="single" w:sz="2" w:space="0" w:color="231F20"/>
              <w:left w:val="single" w:sz="2" w:space="0" w:color="231F20"/>
              <w:bottom w:val="single" w:sz="2" w:space="0" w:color="231F20"/>
            </w:tcBorders>
            <w:vAlign w:val="bottom"/>
          </w:tcPr>
          <w:p w14:paraId="082074D8"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602F2DC7"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0CFC04B0"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3B4C7BCD"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0036333B"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13F9AD18" w14:textId="77777777">
        <w:trPr>
          <w:trHeight w:val="368"/>
        </w:trPr>
        <w:tc>
          <w:tcPr>
            <w:tcW w:w="1845" w:type="dxa"/>
            <w:vMerge/>
            <w:tcBorders>
              <w:top w:val="nil"/>
              <w:bottom w:val="nil"/>
              <w:right w:val="single" w:sz="2" w:space="0" w:color="231F20"/>
            </w:tcBorders>
          </w:tcPr>
          <w:p w14:paraId="5DA0213E"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63282A6D" w14:textId="77777777" w:rsidR="0099599B" w:rsidRDefault="00EB7A3F">
            <w:pPr>
              <w:widowControl w:val="0"/>
              <w:autoSpaceDE w:val="0"/>
              <w:autoSpaceDN w:val="0"/>
              <w:spacing w:before="18" w:after="0" w:line="240" w:lineRule="auto"/>
              <w:ind w:left="153"/>
              <w:rPr>
                <w:rFonts w:ascii="Carlito" w:eastAsia="Carlito" w:hAnsi="Carlito" w:cs="Carlito"/>
                <w:sz w:val="21"/>
              </w:rPr>
            </w:pPr>
            <w:r>
              <w:rPr>
                <w:rFonts w:ascii="Carlito" w:eastAsia="Carlito" w:hAnsi="Carlito" w:cs="Carlito"/>
                <w:color w:val="231F20"/>
                <w:w w:val="105"/>
                <w:sz w:val="21"/>
              </w:rPr>
              <w:t>4.6. Bicycle</w:t>
            </w:r>
            <w:r>
              <w:rPr>
                <w:rFonts w:ascii="Carlito" w:eastAsia="Carlito" w:hAnsi="Carlito" w:cs="Carlito"/>
                <w:color w:val="231F20"/>
                <w:spacing w:val="-5"/>
                <w:w w:val="105"/>
                <w:sz w:val="21"/>
              </w:rPr>
              <w:t xml:space="preserve"> </w:t>
            </w:r>
            <w:r>
              <w:rPr>
                <w:rFonts w:ascii="Carlito" w:eastAsia="Carlito" w:hAnsi="Carlito" w:cs="Carlito"/>
                <w:color w:val="231F20"/>
                <w:w w:val="105"/>
                <w:sz w:val="21"/>
              </w:rPr>
              <w:t>Repair</w:t>
            </w:r>
            <w:r>
              <w:rPr>
                <w:rFonts w:ascii="Carlito" w:eastAsia="Carlito" w:hAnsi="Carlito" w:cs="Carlito"/>
                <w:color w:val="231F20"/>
                <w:spacing w:val="-2"/>
                <w:w w:val="105"/>
                <w:sz w:val="21"/>
              </w:rPr>
              <w:t xml:space="preserve"> </w:t>
            </w:r>
            <w:r>
              <w:rPr>
                <w:rFonts w:ascii="Carlito" w:eastAsia="Carlito" w:hAnsi="Carlito" w:cs="Carlito"/>
                <w:color w:val="231F20"/>
                <w:w w:val="105"/>
                <w:sz w:val="21"/>
              </w:rPr>
              <w:t>shop</w:t>
            </w:r>
            <w:r>
              <w:rPr>
                <w:rFonts w:ascii="Carlito" w:eastAsia="Carlito" w:hAnsi="Carlito" w:cs="Carlito"/>
                <w:color w:val="231F20"/>
                <w:w w:val="105"/>
                <w:sz w:val="21"/>
              </w:rPr>
              <w:tab/>
            </w:r>
          </w:p>
        </w:tc>
        <w:tc>
          <w:tcPr>
            <w:tcW w:w="701" w:type="dxa"/>
            <w:tcBorders>
              <w:top w:val="single" w:sz="2" w:space="0" w:color="231F20"/>
              <w:left w:val="single" w:sz="2" w:space="0" w:color="231F20"/>
              <w:bottom w:val="single" w:sz="2" w:space="0" w:color="231F20"/>
            </w:tcBorders>
            <w:vAlign w:val="bottom"/>
          </w:tcPr>
          <w:p w14:paraId="16F08ED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25A374AA"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0ABF72F4"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6DA9C245"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248EC3C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161A7A4D" w14:textId="77777777">
        <w:trPr>
          <w:trHeight w:val="368"/>
        </w:trPr>
        <w:tc>
          <w:tcPr>
            <w:tcW w:w="1845" w:type="dxa"/>
            <w:tcBorders>
              <w:top w:val="nil"/>
              <w:bottom w:val="nil"/>
              <w:right w:val="single" w:sz="2" w:space="0" w:color="231F20"/>
            </w:tcBorders>
          </w:tcPr>
          <w:p w14:paraId="6C723899" w14:textId="77777777" w:rsidR="0099599B" w:rsidRDefault="0099599B">
            <w:pPr>
              <w:widowControl w:val="0"/>
              <w:autoSpaceDE w:val="0"/>
              <w:autoSpaceDN w:val="0"/>
              <w:spacing w:after="0" w:line="240" w:lineRule="auto"/>
              <w:rPr>
                <w:rFonts w:ascii="Carlito" w:eastAsia="Carlito" w:hAnsi="Carlito" w:cs="Carlito"/>
                <w:sz w:val="2"/>
                <w:szCs w:val="2"/>
              </w:rPr>
            </w:pPr>
          </w:p>
          <w:p w14:paraId="74F23F56" w14:textId="77777777" w:rsidR="0099599B" w:rsidRDefault="0099599B">
            <w:pPr>
              <w:widowControl w:val="0"/>
              <w:autoSpaceDE w:val="0"/>
              <w:autoSpaceDN w:val="0"/>
              <w:spacing w:after="0" w:line="240" w:lineRule="auto"/>
              <w:rPr>
                <w:rFonts w:ascii="Carlito" w:eastAsia="Carlito" w:hAnsi="Carlito" w:cs="Carlito"/>
                <w:sz w:val="2"/>
                <w:szCs w:val="2"/>
              </w:rPr>
            </w:pPr>
          </w:p>
          <w:p w14:paraId="0C74CCE4"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77E50A09"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sz w:val="21"/>
              </w:rPr>
              <w:t xml:space="preserve">4.7. Fitting or auto mechanics shop  </w:t>
            </w:r>
          </w:p>
        </w:tc>
        <w:tc>
          <w:tcPr>
            <w:tcW w:w="701" w:type="dxa"/>
            <w:tcBorders>
              <w:top w:val="single" w:sz="2" w:space="0" w:color="231F20"/>
              <w:left w:val="single" w:sz="2" w:space="0" w:color="231F20"/>
              <w:bottom w:val="single" w:sz="2" w:space="0" w:color="231F20"/>
            </w:tcBorders>
            <w:vAlign w:val="bottom"/>
          </w:tcPr>
          <w:p w14:paraId="28BEF8DA"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415D8728"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3C16D9B5"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53AAB5DE"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570FD99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7A82AD68" w14:textId="77777777">
        <w:trPr>
          <w:trHeight w:val="368"/>
        </w:trPr>
        <w:tc>
          <w:tcPr>
            <w:tcW w:w="1845" w:type="dxa"/>
            <w:tcBorders>
              <w:top w:val="nil"/>
              <w:bottom w:val="nil"/>
              <w:right w:val="single" w:sz="2" w:space="0" w:color="231F20"/>
            </w:tcBorders>
          </w:tcPr>
          <w:p w14:paraId="10D2A1A9" w14:textId="77777777" w:rsidR="0099599B" w:rsidRDefault="0099599B">
            <w:pPr>
              <w:widowControl w:val="0"/>
              <w:autoSpaceDE w:val="0"/>
              <w:autoSpaceDN w:val="0"/>
              <w:spacing w:after="0" w:line="240" w:lineRule="auto"/>
              <w:rPr>
                <w:rFonts w:ascii="Carlito" w:eastAsia="Carlito" w:hAnsi="Carlito" w:cs="Carlito"/>
                <w:sz w:val="2"/>
                <w:szCs w:val="2"/>
              </w:rPr>
            </w:pPr>
          </w:p>
          <w:p w14:paraId="7B908105" w14:textId="77777777" w:rsidR="0099599B" w:rsidRDefault="0099599B">
            <w:pPr>
              <w:widowControl w:val="0"/>
              <w:autoSpaceDE w:val="0"/>
              <w:autoSpaceDN w:val="0"/>
              <w:spacing w:after="0" w:line="240" w:lineRule="auto"/>
              <w:rPr>
                <w:rFonts w:ascii="Carlito" w:eastAsia="Carlito" w:hAnsi="Carlito" w:cs="Carlito"/>
                <w:sz w:val="2"/>
                <w:szCs w:val="2"/>
              </w:rPr>
            </w:pPr>
          </w:p>
          <w:p w14:paraId="71B29898"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6B95021E"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sz w:val="21"/>
              </w:rPr>
              <w:t>4.8.</w:t>
            </w:r>
            <w:r>
              <w:rPr>
                <w:color w:val="231F20"/>
                <w:spacing w:val="8"/>
                <w:sz w:val="21"/>
              </w:rPr>
              <w:t xml:space="preserve"> </w:t>
            </w:r>
            <w:r>
              <w:rPr>
                <w:color w:val="231F20"/>
                <w:sz w:val="21"/>
              </w:rPr>
              <w:t xml:space="preserve">Factory   </w:t>
            </w:r>
          </w:p>
        </w:tc>
        <w:tc>
          <w:tcPr>
            <w:tcW w:w="701" w:type="dxa"/>
            <w:tcBorders>
              <w:top w:val="single" w:sz="2" w:space="0" w:color="231F20"/>
              <w:left w:val="single" w:sz="2" w:space="0" w:color="231F20"/>
              <w:bottom w:val="single" w:sz="2" w:space="0" w:color="231F20"/>
            </w:tcBorders>
            <w:vAlign w:val="bottom"/>
          </w:tcPr>
          <w:p w14:paraId="4E7F1F53" w14:textId="77777777" w:rsidR="0099599B" w:rsidRDefault="0099599B">
            <w:pPr>
              <w:widowControl w:val="0"/>
              <w:autoSpaceDE w:val="0"/>
              <w:autoSpaceDN w:val="0"/>
              <w:spacing w:after="0" w:line="240" w:lineRule="auto"/>
              <w:jc w:val="center"/>
              <w:rPr>
                <w:rFonts w:eastAsia="Carlito"/>
                <w:sz w:val="28"/>
                <w:szCs w:val="28"/>
              </w:rPr>
            </w:pPr>
          </w:p>
        </w:tc>
        <w:tc>
          <w:tcPr>
            <w:tcW w:w="701" w:type="dxa"/>
            <w:tcBorders>
              <w:top w:val="single" w:sz="2" w:space="0" w:color="231F20"/>
              <w:left w:val="single" w:sz="2" w:space="0" w:color="231F20"/>
              <w:bottom w:val="single" w:sz="2" w:space="0" w:color="231F20"/>
            </w:tcBorders>
            <w:vAlign w:val="bottom"/>
          </w:tcPr>
          <w:p w14:paraId="7DE198AD"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42" w:type="dxa"/>
            <w:tcBorders>
              <w:top w:val="single" w:sz="2" w:space="0" w:color="231F20"/>
              <w:left w:val="single" w:sz="2" w:space="0" w:color="231F20"/>
              <w:bottom w:val="single" w:sz="2" w:space="0" w:color="231F20"/>
            </w:tcBorders>
            <w:vAlign w:val="bottom"/>
          </w:tcPr>
          <w:p w14:paraId="52AB29C5"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0B6E4D66"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219C0BF0" w14:textId="77777777" w:rsidR="0099599B" w:rsidRDefault="0099599B">
            <w:pPr>
              <w:widowControl w:val="0"/>
              <w:autoSpaceDE w:val="0"/>
              <w:autoSpaceDN w:val="0"/>
              <w:spacing w:after="0" w:line="240" w:lineRule="auto"/>
              <w:jc w:val="center"/>
              <w:rPr>
                <w:rFonts w:eastAsia="Carlito"/>
                <w:sz w:val="28"/>
                <w:szCs w:val="28"/>
              </w:rPr>
            </w:pPr>
          </w:p>
        </w:tc>
      </w:tr>
      <w:tr w:rsidR="0099599B" w14:paraId="0720E7E2" w14:textId="77777777">
        <w:trPr>
          <w:trHeight w:val="368"/>
        </w:trPr>
        <w:tc>
          <w:tcPr>
            <w:tcW w:w="1845" w:type="dxa"/>
            <w:tcBorders>
              <w:top w:val="nil"/>
              <w:bottom w:val="nil"/>
              <w:right w:val="single" w:sz="2" w:space="0" w:color="231F20"/>
            </w:tcBorders>
          </w:tcPr>
          <w:p w14:paraId="024369F8"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6F44F3E2"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sz w:val="21"/>
              </w:rPr>
              <w:t xml:space="preserve">4.10. Aquaculture (Crabs, Shrimps)  </w:t>
            </w:r>
          </w:p>
        </w:tc>
        <w:tc>
          <w:tcPr>
            <w:tcW w:w="701" w:type="dxa"/>
            <w:tcBorders>
              <w:top w:val="single" w:sz="2" w:space="0" w:color="231F20"/>
              <w:left w:val="single" w:sz="2" w:space="0" w:color="231F20"/>
              <w:bottom w:val="single" w:sz="2" w:space="0" w:color="231F20"/>
            </w:tcBorders>
            <w:vAlign w:val="bottom"/>
          </w:tcPr>
          <w:p w14:paraId="434D061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7CEE6003"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5FE648E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2" w:space="0" w:color="231F20"/>
              <w:left w:val="single" w:sz="2" w:space="0" w:color="231F20"/>
              <w:bottom w:val="single" w:sz="2" w:space="0" w:color="231F20"/>
            </w:tcBorders>
            <w:vAlign w:val="bottom"/>
          </w:tcPr>
          <w:p w14:paraId="2086A7E5"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68E3D2F5" w14:textId="77777777" w:rsidR="0099599B" w:rsidRDefault="0099599B">
            <w:pPr>
              <w:widowControl w:val="0"/>
              <w:autoSpaceDE w:val="0"/>
              <w:autoSpaceDN w:val="0"/>
              <w:spacing w:after="0" w:line="240" w:lineRule="auto"/>
              <w:jc w:val="center"/>
              <w:rPr>
                <w:rFonts w:eastAsia="Carlito"/>
                <w:sz w:val="28"/>
                <w:szCs w:val="28"/>
              </w:rPr>
            </w:pPr>
          </w:p>
        </w:tc>
      </w:tr>
      <w:tr w:rsidR="0099599B" w14:paraId="6E96D716" w14:textId="77777777">
        <w:trPr>
          <w:trHeight w:val="368"/>
        </w:trPr>
        <w:tc>
          <w:tcPr>
            <w:tcW w:w="1845" w:type="dxa"/>
            <w:tcBorders>
              <w:top w:val="nil"/>
              <w:bottom w:val="single" w:sz="12" w:space="0" w:color="231F20"/>
              <w:right w:val="single" w:sz="2" w:space="0" w:color="231F20"/>
            </w:tcBorders>
          </w:tcPr>
          <w:p w14:paraId="146C8BA4"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12" w:space="0" w:color="231F20"/>
              <w:right w:val="single" w:sz="2" w:space="0" w:color="231F20"/>
            </w:tcBorders>
          </w:tcPr>
          <w:p w14:paraId="2335D172"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sz w:val="21"/>
              </w:rPr>
              <w:t xml:space="preserve">4.11. Financial services: Banks, western union, Momo access  </w:t>
            </w:r>
          </w:p>
        </w:tc>
        <w:tc>
          <w:tcPr>
            <w:tcW w:w="701" w:type="dxa"/>
            <w:tcBorders>
              <w:top w:val="single" w:sz="2" w:space="0" w:color="231F20"/>
              <w:left w:val="single" w:sz="2" w:space="0" w:color="231F20"/>
              <w:bottom w:val="single" w:sz="12" w:space="0" w:color="231F20"/>
            </w:tcBorders>
            <w:vAlign w:val="bottom"/>
          </w:tcPr>
          <w:p w14:paraId="62B0C51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12" w:space="0" w:color="231F20"/>
            </w:tcBorders>
            <w:vAlign w:val="bottom"/>
          </w:tcPr>
          <w:p w14:paraId="3286433F"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12" w:space="0" w:color="231F20"/>
            </w:tcBorders>
            <w:vAlign w:val="bottom"/>
          </w:tcPr>
          <w:p w14:paraId="63CEA8B1"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12" w:space="0" w:color="231F20"/>
            </w:tcBorders>
            <w:vAlign w:val="bottom"/>
          </w:tcPr>
          <w:p w14:paraId="0A2A8238"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12" w:space="0" w:color="231F20"/>
            </w:tcBorders>
            <w:vAlign w:val="bottom"/>
          </w:tcPr>
          <w:p w14:paraId="1BD251BF"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125C69EE" w14:textId="77777777">
        <w:trPr>
          <w:trHeight w:val="368"/>
        </w:trPr>
        <w:tc>
          <w:tcPr>
            <w:tcW w:w="1845" w:type="dxa"/>
            <w:vMerge w:val="restart"/>
            <w:tcBorders>
              <w:top w:val="single" w:sz="12" w:space="0" w:color="231F20"/>
              <w:right w:val="single" w:sz="2" w:space="0" w:color="231F20"/>
            </w:tcBorders>
          </w:tcPr>
          <w:p w14:paraId="2BC66ADE" w14:textId="77777777" w:rsidR="0099599B" w:rsidRDefault="0099599B">
            <w:pPr>
              <w:widowControl w:val="0"/>
              <w:autoSpaceDE w:val="0"/>
              <w:autoSpaceDN w:val="0"/>
              <w:spacing w:after="0" w:line="240" w:lineRule="auto"/>
              <w:rPr>
                <w:rFonts w:ascii="Carlito" w:eastAsia="Carlito" w:hAnsi="Carlito" w:cs="Carlito"/>
                <w:sz w:val="2"/>
                <w:szCs w:val="2"/>
              </w:rPr>
            </w:pPr>
          </w:p>
          <w:p w14:paraId="75FE947F" w14:textId="77777777" w:rsidR="0099599B" w:rsidRDefault="0099599B">
            <w:pPr>
              <w:widowControl w:val="0"/>
              <w:autoSpaceDE w:val="0"/>
              <w:autoSpaceDN w:val="0"/>
              <w:spacing w:after="0" w:line="240" w:lineRule="auto"/>
              <w:rPr>
                <w:rFonts w:ascii="Carlito" w:eastAsia="Carlito" w:hAnsi="Carlito" w:cs="Carlito"/>
                <w:sz w:val="2"/>
                <w:szCs w:val="2"/>
              </w:rPr>
            </w:pPr>
          </w:p>
          <w:p w14:paraId="4293C1C6" w14:textId="77777777" w:rsidR="0099599B" w:rsidRDefault="0099599B">
            <w:pPr>
              <w:widowControl w:val="0"/>
              <w:autoSpaceDE w:val="0"/>
              <w:autoSpaceDN w:val="0"/>
              <w:spacing w:after="0" w:line="240" w:lineRule="auto"/>
              <w:rPr>
                <w:rFonts w:ascii="Carlito" w:eastAsia="Carlito" w:hAnsi="Carlito" w:cs="Carlito"/>
                <w:sz w:val="2"/>
                <w:szCs w:val="2"/>
              </w:rPr>
            </w:pPr>
          </w:p>
          <w:p w14:paraId="397DA9AA" w14:textId="77777777" w:rsidR="0099599B" w:rsidRDefault="0099599B">
            <w:pPr>
              <w:widowControl w:val="0"/>
              <w:autoSpaceDE w:val="0"/>
              <w:autoSpaceDN w:val="0"/>
              <w:spacing w:after="0" w:line="240" w:lineRule="auto"/>
              <w:rPr>
                <w:rFonts w:ascii="Carlito" w:eastAsia="Carlito" w:hAnsi="Carlito" w:cs="Carlito"/>
                <w:sz w:val="2"/>
                <w:szCs w:val="2"/>
              </w:rPr>
            </w:pPr>
          </w:p>
          <w:p w14:paraId="24E2A558" w14:textId="77777777" w:rsidR="0099599B" w:rsidRDefault="00EB7A3F">
            <w:pPr>
              <w:pStyle w:val="TableParagraph"/>
              <w:spacing w:before="1" w:line="252" w:lineRule="auto"/>
              <w:ind w:left="109" w:right="186"/>
              <w:rPr>
                <w:b/>
                <w:sz w:val="21"/>
              </w:rPr>
            </w:pPr>
            <w:r>
              <w:rPr>
                <w:b/>
                <w:color w:val="231F20"/>
                <w:w w:val="105"/>
                <w:sz w:val="21"/>
              </w:rPr>
              <w:t>5. Provisioning eco-systems services</w:t>
            </w:r>
          </w:p>
          <w:p w14:paraId="25EDD87E" w14:textId="77777777" w:rsidR="0099599B" w:rsidRDefault="0099599B">
            <w:pPr>
              <w:widowControl w:val="0"/>
              <w:autoSpaceDE w:val="0"/>
              <w:autoSpaceDN w:val="0"/>
              <w:spacing w:after="0" w:line="240" w:lineRule="auto"/>
              <w:rPr>
                <w:rFonts w:ascii="Carlito" w:eastAsia="Carlito" w:hAnsi="Carlito" w:cs="Carlito"/>
                <w:sz w:val="2"/>
                <w:szCs w:val="2"/>
              </w:rPr>
            </w:pPr>
          </w:p>
          <w:p w14:paraId="3097241B" w14:textId="77777777" w:rsidR="0099599B" w:rsidRDefault="0099599B">
            <w:pPr>
              <w:widowControl w:val="0"/>
              <w:autoSpaceDE w:val="0"/>
              <w:autoSpaceDN w:val="0"/>
              <w:spacing w:after="0" w:line="240" w:lineRule="auto"/>
              <w:rPr>
                <w:rFonts w:ascii="Carlito" w:eastAsia="Carlito" w:hAnsi="Carlito" w:cs="Carlito"/>
                <w:sz w:val="2"/>
                <w:szCs w:val="2"/>
              </w:rPr>
            </w:pPr>
          </w:p>
          <w:p w14:paraId="3150DA7B" w14:textId="77777777" w:rsidR="0099599B" w:rsidRDefault="0099599B">
            <w:pPr>
              <w:widowControl w:val="0"/>
              <w:autoSpaceDE w:val="0"/>
              <w:autoSpaceDN w:val="0"/>
              <w:spacing w:after="0" w:line="240" w:lineRule="auto"/>
              <w:rPr>
                <w:rFonts w:ascii="Carlito" w:eastAsia="Carlito" w:hAnsi="Carlito" w:cs="Carlito"/>
                <w:sz w:val="2"/>
                <w:szCs w:val="2"/>
              </w:rPr>
            </w:pPr>
          </w:p>
          <w:p w14:paraId="05DA5CC8"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12" w:space="0" w:color="231F20"/>
              <w:left w:val="single" w:sz="4" w:space="0" w:color="231F20"/>
              <w:bottom w:val="single" w:sz="4" w:space="0" w:color="231F20"/>
              <w:right w:val="single" w:sz="4" w:space="0" w:color="231F20"/>
            </w:tcBorders>
          </w:tcPr>
          <w:p w14:paraId="25260BB2"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5.1. Rice farms.</w:t>
            </w:r>
          </w:p>
        </w:tc>
        <w:tc>
          <w:tcPr>
            <w:tcW w:w="701" w:type="dxa"/>
            <w:tcBorders>
              <w:top w:val="single" w:sz="12" w:space="0" w:color="231F20"/>
              <w:left w:val="single" w:sz="2" w:space="0" w:color="231F20"/>
              <w:bottom w:val="single" w:sz="2" w:space="0" w:color="231F20"/>
            </w:tcBorders>
            <w:vAlign w:val="bottom"/>
          </w:tcPr>
          <w:p w14:paraId="3F9B777E"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12" w:space="0" w:color="231F20"/>
              <w:left w:val="single" w:sz="2" w:space="0" w:color="231F20"/>
              <w:bottom w:val="single" w:sz="2" w:space="0" w:color="231F20"/>
            </w:tcBorders>
            <w:vAlign w:val="bottom"/>
          </w:tcPr>
          <w:p w14:paraId="4A43EFB8"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12" w:space="0" w:color="231F20"/>
              <w:left w:val="single" w:sz="2" w:space="0" w:color="231F20"/>
              <w:bottom w:val="single" w:sz="2" w:space="0" w:color="231F20"/>
            </w:tcBorders>
            <w:vAlign w:val="bottom"/>
          </w:tcPr>
          <w:p w14:paraId="2B50429B"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12" w:space="0" w:color="231F20"/>
              <w:left w:val="single" w:sz="2" w:space="0" w:color="231F20"/>
              <w:bottom w:val="single" w:sz="2" w:space="0" w:color="231F20"/>
            </w:tcBorders>
            <w:vAlign w:val="bottom"/>
          </w:tcPr>
          <w:p w14:paraId="41180934"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12" w:space="0" w:color="231F20"/>
              <w:left w:val="single" w:sz="2" w:space="0" w:color="231F20"/>
              <w:bottom w:val="single" w:sz="2" w:space="0" w:color="231F20"/>
            </w:tcBorders>
            <w:vAlign w:val="bottom"/>
          </w:tcPr>
          <w:p w14:paraId="5225E203" w14:textId="77777777" w:rsidR="0099599B" w:rsidRDefault="0099599B">
            <w:pPr>
              <w:widowControl w:val="0"/>
              <w:autoSpaceDE w:val="0"/>
              <w:autoSpaceDN w:val="0"/>
              <w:spacing w:after="0" w:line="240" w:lineRule="auto"/>
              <w:jc w:val="center"/>
              <w:rPr>
                <w:rFonts w:eastAsia="Carlito"/>
                <w:sz w:val="28"/>
                <w:szCs w:val="28"/>
              </w:rPr>
            </w:pPr>
          </w:p>
        </w:tc>
      </w:tr>
      <w:tr w:rsidR="0099599B" w14:paraId="10EEE4D1" w14:textId="77777777">
        <w:trPr>
          <w:trHeight w:val="368"/>
        </w:trPr>
        <w:tc>
          <w:tcPr>
            <w:tcW w:w="1845" w:type="dxa"/>
            <w:vMerge/>
            <w:tcBorders>
              <w:right w:val="single" w:sz="2" w:space="0" w:color="231F20"/>
            </w:tcBorders>
          </w:tcPr>
          <w:p w14:paraId="7E5884F5"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24F19F5F"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5.2.</w:t>
            </w:r>
            <w:r>
              <w:rPr>
                <w:color w:val="231F20"/>
                <w:spacing w:val="-1"/>
                <w:w w:val="105"/>
                <w:sz w:val="21"/>
              </w:rPr>
              <w:t xml:space="preserve"> </w:t>
            </w:r>
            <w:r>
              <w:rPr>
                <w:color w:val="231F20"/>
                <w:w w:val="105"/>
                <w:sz w:val="21"/>
              </w:rPr>
              <w:t xml:space="preserve">Grains  </w:t>
            </w:r>
            <w:r>
              <w:rPr>
                <w:color w:val="231F20"/>
                <w:spacing w:val="39"/>
                <w:w w:val="105"/>
                <w:sz w:val="21"/>
              </w:rPr>
              <w:t xml:space="preserve"> </w:t>
            </w:r>
          </w:p>
        </w:tc>
        <w:tc>
          <w:tcPr>
            <w:tcW w:w="701" w:type="dxa"/>
            <w:tcBorders>
              <w:top w:val="single" w:sz="2" w:space="0" w:color="231F20"/>
              <w:left w:val="single" w:sz="2" w:space="0" w:color="231F20"/>
              <w:bottom w:val="single" w:sz="2" w:space="0" w:color="231F20"/>
            </w:tcBorders>
            <w:vAlign w:val="bottom"/>
          </w:tcPr>
          <w:p w14:paraId="647BB66F" w14:textId="77777777" w:rsidR="0099599B" w:rsidRDefault="0099599B">
            <w:pPr>
              <w:widowControl w:val="0"/>
              <w:autoSpaceDE w:val="0"/>
              <w:autoSpaceDN w:val="0"/>
              <w:spacing w:after="0" w:line="240" w:lineRule="auto"/>
              <w:jc w:val="center"/>
              <w:rPr>
                <w:rFonts w:eastAsia="Carlito"/>
                <w:sz w:val="28"/>
                <w:szCs w:val="28"/>
              </w:rPr>
            </w:pPr>
          </w:p>
        </w:tc>
        <w:tc>
          <w:tcPr>
            <w:tcW w:w="701" w:type="dxa"/>
            <w:tcBorders>
              <w:top w:val="single" w:sz="2" w:space="0" w:color="231F20"/>
              <w:left w:val="single" w:sz="2" w:space="0" w:color="231F20"/>
              <w:bottom w:val="single" w:sz="2" w:space="0" w:color="231F20"/>
            </w:tcBorders>
            <w:vAlign w:val="bottom"/>
          </w:tcPr>
          <w:p w14:paraId="79129FA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42" w:type="dxa"/>
            <w:tcBorders>
              <w:top w:val="single" w:sz="2" w:space="0" w:color="231F20"/>
              <w:left w:val="single" w:sz="2" w:space="0" w:color="231F20"/>
              <w:bottom w:val="single" w:sz="2" w:space="0" w:color="231F20"/>
            </w:tcBorders>
            <w:vAlign w:val="bottom"/>
          </w:tcPr>
          <w:p w14:paraId="5A82E57D"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6AAACBF1"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355ECD18" w14:textId="77777777" w:rsidR="0099599B" w:rsidRDefault="0099599B">
            <w:pPr>
              <w:widowControl w:val="0"/>
              <w:autoSpaceDE w:val="0"/>
              <w:autoSpaceDN w:val="0"/>
              <w:spacing w:after="0" w:line="240" w:lineRule="auto"/>
              <w:jc w:val="center"/>
              <w:rPr>
                <w:rFonts w:eastAsia="Carlito"/>
                <w:sz w:val="28"/>
                <w:szCs w:val="28"/>
              </w:rPr>
            </w:pPr>
          </w:p>
        </w:tc>
      </w:tr>
      <w:tr w:rsidR="0099599B" w14:paraId="501EA76D" w14:textId="77777777">
        <w:trPr>
          <w:trHeight w:val="368"/>
        </w:trPr>
        <w:tc>
          <w:tcPr>
            <w:tcW w:w="1845" w:type="dxa"/>
            <w:vMerge/>
            <w:tcBorders>
              <w:right w:val="single" w:sz="2" w:space="0" w:color="231F20"/>
            </w:tcBorders>
          </w:tcPr>
          <w:p w14:paraId="37CCEA43"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4B43D8FE"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5.3. Groundnuts.</w:t>
            </w:r>
          </w:p>
        </w:tc>
        <w:tc>
          <w:tcPr>
            <w:tcW w:w="701" w:type="dxa"/>
            <w:tcBorders>
              <w:top w:val="single" w:sz="2" w:space="0" w:color="231F20"/>
              <w:left w:val="single" w:sz="2" w:space="0" w:color="231F20"/>
              <w:bottom w:val="single" w:sz="2" w:space="0" w:color="231F20"/>
            </w:tcBorders>
            <w:vAlign w:val="bottom"/>
          </w:tcPr>
          <w:p w14:paraId="04E85B26" w14:textId="77777777" w:rsidR="0099599B" w:rsidRDefault="0099599B">
            <w:pPr>
              <w:widowControl w:val="0"/>
              <w:autoSpaceDE w:val="0"/>
              <w:autoSpaceDN w:val="0"/>
              <w:spacing w:after="0" w:line="240" w:lineRule="auto"/>
              <w:jc w:val="center"/>
              <w:rPr>
                <w:rFonts w:eastAsia="Carlito"/>
                <w:sz w:val="28"/>
                <w:szCs w:val="28"/>
              </w:rPr>
            </w:pPr>
          </w:p>
        </w:tc>
        <w:tc>
          <w:tcPr>
            <w:tcW w:w="701" w:type="dxa"/>
            <w:tcBorders>
              <w:top w:val="single" w:sz="2" w:space="0" w:color="231F20"/>
              <w:left w:val="single" w:sz="2" w:space="0" w:color="231F20"/>
              <w:bottom w:val="single" w:sz="2" w:space="0" w:color="231F20"/>
            </w:tcBorders>
            <w:vAlign w:val="bottom"/>
          </w:tcPr>
          <w:p w14:paraId="60FD703C"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42" w:type="dxa"/>
            <w:tcBorders>
              <w:top w:val="single" w:sz="2" w:space="0" w:color="231F20"/>
              <w:left w:val="single" w:sz="2" w:space="0" w:color="231F20"/>
              <w:bottom w:val="single" w:sz="2" w:space="0" w:color="231F20"/>
            </w:tcBorders>
            <w:vAlign w:val="bottom"/>
          </w:tcPr>
          <w:p w14:paraId="75C786CF"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028BAB50"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4337D622" w14:textId="77777777" w:rsidR="0099599B" w:rsidRDefault="0099599B">
            <w:pPr>
              <w:widowControl w:val="0"/>
              <w:autoSpaceDE w:val="0"/>
              <w:autoSpaceDN w:val="0"/>
              <w:spacing w:after="0" w:line="240" w:lineRule="auto"/>
              <w:jc w:val="center"/>
              <w:rPr>
                <w:rFonts w:eastAsia="Carlito"/>
                <w:sz w:val="28"/>
                <w:szCs w:val="28"/>
              </w:rPr>
            </w:pPr>
          </w:p>
        </w:tc>
      </w:tr>
      <w:tr w:rsidR="0099599B" w14:paraId="54A2F306" w14:textId="77777777">
        <w:trPr>
          <w:trHeight w:val="368"/>
        </w:trPr>
        <w:tc>
          <w:tcPr>
            <w:tcW w:w="1845" w:type="dxa"/>
            <w:vMerge/>
            <w:tcBorders>
              <w:right w:val="single" w:sz="2" w:space="0" w:color="231F20"/>
            </w:tcBorders>
          </w:tcPr>
          <w:p w14:paraId="4309DF9B"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6CD4236F"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5.4. Maize.</w:t>
            </w:r>
          </w:p>
        </w:tc>
        <w:tc>
          <w:tcPr>
            <w:tcW w:w="701" w:type="dxa"/>
            <w:tcBorders>
              <w:top w:val="single" w:sz="2" w:space="0" w:color="231F20"/>
              <w:left w:val="single" w:sz="2" w:space="0" w:color="231F20"/>
              <w:bottom w:val="single" w:sz="2" w:space="0" w:color="231F20"/>
            </w:tcBorders>
            <w:vAlign w:val="bottom"/>
          </w:tcPr>
          <w:p w14:paraId="21604945"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05E79DEF"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21A28057"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72224B04"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28A4C83F"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6F6FF297" w14:textId="77777777">
        <w:trPr>
          <w:trHeight w:val="368"/>
        </w:trPr>
        <w:tc>
          <w:tcPr>
            <w:tcW w:w="1845" w:type="dxa"/>
            <w:vMerge/>
            <w:tcBorders>
              <w:right w:val="single" w:sz="2" w:space="0" w:color="231F20"/>
            </w:tcBorders>
          </w:tcPr>
          <w:p w14:paraId="0A521ABA"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0AD81A7B"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5.5. Beans.</w:t>
            </w:r>
          </w:p>
        </w:tc>
        <w:tc>
          <w:tcPr>
            <w:tcW w:w="701" w:type="dxa"/>
            <w:tcBorders>
              <w:top w:val="single" w:sz="2" w:space="0" w:color="231F20"/>
              <w:left w:val="single" w:sz="2" w:space="0" w:color="231F20"/>
              <w:bottom w:val="single" w:sz="2" w:space="0" w:color="231F20"/>
            </w:tcBorders>
            <w:vAlign w:val="bottom"/>
          </w:tcPr>
          <w:p w14:paraId="1F7C8A0C" w14:textId="77777777" w:rsidR="0099599B" w:rsidRDefault="0099599B">
            <w:pPr>
              <w:widowControl w:val="0"/>
              <w:autoSpaceDE w:val="0"/>
              <w:autoSpaceDN w:val="0"/>
              <w:spacing w:after="0" w:line="240" w:lineRule="auto"/>
              <w:jc w:val="center"/>
              <w:rPr>
                <w:rFonts w:eastAsia="Carlito"/>
                <w:sz w:val="28"/>
                <w:szCs w:val="28"/>
              </w:rPr>
            </w:pPr>
          </w:p>
        </w:tc>
        <w:tc>
          <w:tcPr>
            <w:tcW w:w="701" w:type="dxa"/>
            <w:tcBorders>
              <w:top w:val="single" w:sz="2" w:space="0" w:color="231F20"/>
              <w:left w:val="single" w:sz="2" w:space="0" w:color="231F20"/>
              <w:bottom w:val="single" w:sz="2" w:space="0" w:color="231F20"/>
            </w:tcBorders>
            <w:vAlign w:val="bottom"/>
          </w:tcPr>
          <w:p w14:paraId="07C8AC07"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42" w:type="dxa"/>
            <w:tcBorders>
              <w:top w:val="single" w:sz="2" w:space="0" w:color="231F20"/>
              <w:left w:val="single" w:sz="2" w:space="0" w:color="231F20"/>
              <w:bottom w:val="single" w:sz="2" w:space="0" w:color="231F20"/>
            </w:tcBorders>
            <w:vAlign w:val="bottom"/>
          </w:tcPr>
          <w:p w14:paraId="387C4ED4"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13E8DD08"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6774305B" w14:textId="77777777" w:rsidR="0099599B" w:rsidRDefault="0099599B">
            <w:pPr>
              <w:widowControl w:val="0"/>
              <w:autoSpaceDE w:val="0"/>
              <w:autoSpaceDN w:val="0"/>
              <w:spacing w:after="0" w:line="240" w:lineRule="auto"/>
              <w:jc w:val="center"/>
              <w:rPr>
                <w:rFonts w:eastAsia="Carlito"/>
                <w:sz w:val="28"/>
                <w:szCs w:val="28"/>
              </w:rPr>
            </w:pPr>
          </w:p>
        </w:tc>
      </w:tr>
      <w:tr w:rsidR="0099599B" w14:paraId="6B9288F4" w14:textId="77777777">
        <w:trPr>
          <w:trHeight w:val="368"/>
        </w:trPr>
        <w:tc>
          <w:tcPr>
            <w:tcW w:w="1845" w:type="dxa"/>
            <w:vMerge/>
            <w:tcBorders>
              <w:right w:val="single" w:sz="2" w:space="0" w:color="231F20"/>
            </w:tcBorders>
          </w:tcPr>
          <w:p w14:paraId="34BA7B66"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711CCB4C"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5.6. Flowers.</w:t>
            </w:r>
          </w:p>
        </w:tc>
        <w:tc>
          <w:tcPr>
            <w:tcW w:w="701" w:type="dxa"/>
            <w:tcBorders>
              <w:top w:val="single" w:sz="2" w:space="0" w:color="231F20"/>
              <w:left w:val="single" w:sz="2" w:space="0" w:color="231F20"/>
              <w:bottom w:val="single" w:sz="2" w:space="0" w:color="231F20"/>
            </w:tcBorders>
            <w:vAlign w:val="bottom"/>
          </w:tcPr>
          <w:p w14:paraId="78B01B3E"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17120473"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29416B0C" w14:textId="77777777" w:rsidR="0099599B" w:rsidRDefault="00EB7A3F">
            <w:pPr>
              <w:jc w:val="center"/>
              <w:rPr>
                <w:sz w:val="28"/>
                <w:szCs w:val="28"/>
              </w:rPr>
            </w:pPr>
            <w:r>
              <w:rPr>
                <w:sz w:val="28"/>
                <w:szCs w:val="28"/>
              </w:rPr>
              <w:t>*</w:t>
            </w:r>
          </w:p>
        </w:tc>
        <w:tc>
          <w:tcPr>
            <w:tcW w:w="538" w:type="dxa"/>
            <w:tcBorders>
              <w:top w:val="single" w:sz="2" w:space="0" w:color="231F20"/>
              <w:left w:val="single" w:sz="2" w:space="0" w:color="231F20"/>
              <w:bottom w:val="single" w:sz="2" w:space="0" w:color="231F20"/>
            </w:tcBorders>
            <w:vAlign w:val="bottom"/>
          </w:tcPr>
          <w:p w14:paraId="4DB478D6"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1F8C7C8A" w14:textId="77777777" w:rsidR="0099599B" w:rsidRDefault="0099599B">
            <w:pPr>
              <w:widowControl w:val="0"/>
              <w:autoSpaceDE w:val="0"/>
              <w:autoSpaceDN w:val="0"/>
              <w:spacing w:after="0" w:line="240" w:lineRule="auto"/>
              <w:jc w:val="center"/>
              <w:rPr>
                <w:rFonts w:eastAsia="Carlito"/>
                <w:sz w:val="28"/>
                <w:szCs w:val="28"/>
              </w:rPr>
            </w:pPr>
          </w:p>
        </w:tc>
      </w:tr>
      <w:tr w:rsidR="0099599B" w14:paraId="2768D22C" w14:textId="77777777">
        <w:trPr>
          <w:trHeight w:val="368"/>
        </w:trPr>
        <w:tc>
          <w:tcPr>
            <w:tcW w:w="1845" w:type="dxa"/>
            <w:vMerge/>
            <w:tcBorders>
              <w:right w:val="single" w:sz="2" w:space="0" w:color="231F20"/>
            </w:tcBorders>
          </w:tcPr>
          <w:p w14:paraId="6F9CFC23"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7481C286"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5.7. Tobacco.</w:t>
            </w:r>
          </w:p>
        </w:tc>
        <w:tc>
          <w:tcPr>
            <w:tcW w:w="701" w:type="dxa"/>
            <w:tcBorders>
              <w:top w:val="single" w:sz="2" w:space="0" w:color="231F20"/>
              <w:left w:val="single" w:sz="2" w:space="0" w:color="231F20"/>
              <w:bottom w:val="single" w:sz="2" w:space="0" w:color="231F20"/>
            </w:tcBorders>
            <w:vAlign w:val="bottom"/>
          </w:tcPr>
          <w:p w14:paraId="3110799B" w14:textId="77777777" w:rsidR="0099599B" w:rsidRDefault="0099599B">
            <w:pPr>
              <w:widowControl w:val="0"/>
              <w:autoSpaceDE w:val="0"/>
              <w:autoSpaceDN w:val="0"/>
              <w:spacing w:after="0" w:line="240" w:lineRule="auto"/>
              <w:jc w:val="center"/>
              <w:rPr>
                <w:rFonts w:eastAsia="Carlito"/>
                <w:sz w:val="28"/>
                <w:szCs w:val="28"/>
              </w:rPr>
            </w:pPr>
          </w:p>
        </w:tc>
        <w:tc>
          <w:tcPr>
            <w:tcW w:w="701" w:type="dxa"/>
            <w:tcBorders>
              <w:top w:val="single" w:sz="2" w:space="0" w:color="231F20"/>
              <w:left w:val="single" w:sz="2" w:space="0" w:color="231F20"/>
              <w:bottom w:val="single" w:sz="2" w:space="0" w:color="231F20"/>
            </w:tcBorders>
            <w:vAlign w:val="bottom"/>
          </w:tcPr>
          <w:p w14:paraId="6015EA93"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42" w:type="dxa"/>
            <w:tcBorders>
              <w:top w:val="single" w:sz="2" w:space="0" w:color="231F20"/>
              <w:left w:val="single" w:sz="2" w:space="0" w:color="231F20"/>
              <w:bottom w:val="single" w:sz="2" w:space="0" w:color="231F20"/>
            </w:tcBorders>
            <w:vAlign w:val="bottom"/>
          </w:tcPr>
          <w:p w14:paraId="43D4FD3E"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5D040651"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7E73469C" w14:textId="77777777" w:rsidR="0099599B" w:rsidRDefault="0099599B">
            <w:pPr>
              <w:widowControl w:val="0"/>
              <w:autoSpaceDE w:val="0"/>
              <w:autoSpaceDN w:val="0"/>
              <w:spacing w:after="0" w:line="240" w:lineRule="auto"/>
              <w:jc w:val="center"/>
              <w:rPr>
                <w:rFonts w:eastAsia="Carlito"/>
                <w:sz w:val="28"/>
                <w:szCs w:val="28"/>
              </w:rPr>
            </w:pPr>
          </w:p>
        </w:tc>
      </w:tr>
      <w:tr w:rsidR="0099599B" w14:paraId="32149B70" w14:textId="77777777">
        <w:trPr>
          <w:trHeight w:val="368"/>
        </w:trPr>
        <w:tc>
          <w:tcPr>
            <w:tcW w:w="1845" w:type="dxa"/>
            <w:vMerge/>
            <w:tcBorders>
              <w:right w:val="single" w:sz="2" w:space="0" w:color="231F20"/>
            </w:tcBorders>
          </w:tcPr>
          <w:p w14:paraId="7B53B36E"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55176DCF"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5.8. Vegetables.</w:t>
            </w:r>
          </w:p>
        </w:tc>
        <w:tc>
          <w:tcPr>
            <w:tcW w:w="701" w:type="dxa"/>
            <w:tcBorders>
              <w:top w:val="single" w:sz="2" w:space="0" w:color="231F20"/>
              <w:left w:val="single" w:sz="2" w:space="0" w:color="231F20"/>
              <w:bottom w:val="single" w:sz="2" w:space="0" w:color="231F20"/>
            </w:tcBorders>
            <w:vAlign w:val="bottom"/>
          </w:tcPr>
          <w:p w14:paraId="7EDC78EF"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6B1867C0"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22512591"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1E1AE60C"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08F820F2"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2E16D366" w14:textId="77777777">
        <w:trPr>
          <w:trHeight w:val="368"/>
        </w:trPr>
        <w:tc>
          <w:tcPr>
            <w:tcW w:w="1845" w:type="dxa"/>
            <w:vMerge/>
            <w:tcBorders>
              <w:right w:val="single" w:sz="2" w:space="0" w:color="231F20"/>
            </w:tcBorders>
          </w:tcPr>
          <w:p w14:paraId="5B9BE204"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063A947D"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5.9. Livestock.</w:t>
            </w:r>
          </w:p>
        </w:tc>
        <w:tc>
          <w:tcPr>
            <w:tcW w:w="701" w:type="dxa"/>
            <w:tcBorders>
              <w:top w:val="single" w:sz="2" w:space="0" w:color="231F20"/>
              <w:left w:val="single" w:sz="2" w:space="0" w:color="231F20"/>
              <w:bottom w:val="single" w:sz="2" w:space="0" w:color="231F20"/>
            </w:tcBorders>
            <w:vAlign w:val="bottom"/>
          </w:tcPr>
          <w:p w14:paraId="105F3B82"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307A9144"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6923A987"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182B995B"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5BA6EE75"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4797D51C" w14:textId="77777777">
        <w:trPr>
          <w:trHeight w:val="368"/>
        </w:trPr>
        <w:tc>
          <w:tcPr>
            <w:tcW w:w="1845" w:type="dxa"/>
            <w:vMerge/>
            <w:tcBorders>
              <w:right w:val="single" w:sz="2" w:space="0" w:color="231F20"/>
            </w:tcBorders>
          </w:tcPr>
          <w:p w14:paraId="3CB8C22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16FE1530"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5.10. Wood for charcoal.</w:t>
            </w:r>
          </w:p>
        </w:tc>
        <w:tc>
          <w:tcPr>
            <w:tcW w:w="701" w:type="dxa"/>
            <w:tcBorders>
              <w:top w:val="single" w:sz="2" w:space="0" w:color="231F20"/>
              <w:left w:val="single" w:sz="2" w:space="0" w:color="231F20"/>
              <w:bottom w:val="single" w:sz="2" w:space="0" w:color="231F20"/>
            </w:tcBorders>
            <w:vAlign w:val="bottom"/>
          </w:tcPr>
          <w:p w14:paraId="2C7F87F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338ED030"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08D59EA7"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2" w:space="0" w:color="231F20"/>
              <w:left w:val="single" w:sz="2" w:space="0" w:color="231F20"/>
              <w:bottom w:val="single" w:sz="2" w:space="0" w:color="231F20"/>
            </w:tcBorders>
            <w:vAlign w:val="bottom"/>
          </w:tcPr>
          <w:p w14:paraId="06341EA6"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18887FB4" w14:textId="77777777" w:rsidR="0099599B" w:rsidRDefault="0099599B">
            <w:pPr>
              <w:widowControl w:val="0"/>
              <w:autoSpaceDE w:val="0"/>
              <w:autoSpaceDN w:val="0"/>
              <w:spacing w:after="0" w:line="240" w:lineRule="auto"/>
              <w:jc w:val="center"/>
              <w:rPr>
                <w:rFonts w:eastAsia="Carlito"/>
                <w:sz w:val="28"/>
                <w:szCs w:val="28"/>
              </w:rPr>
            </w:pPr>
          </w:p>
        </w:tc>
      </w:tr>
      <w:tr w:rsidR="0099599B" w14:paraId="5EC8F517" w14:textId="77777777">
        <w:trPr>
          <w:trHeight w:val="368"/>
        </w:trPr>
        <w:tc>
          <w:tcPr>
            <w:tcW w:w="1845" w:type="dxa"/>
            <w:vMerge/>
            <w:tcBorders>
              <w:right w:val="single" w:sz="2" w:space="0" w:color="231F20"/>
            </w:tcBorders>
          </w:tcPr>
          <w:p w14:paraId="26D78045"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4" w:space="0" w:color="231F20"/>
              <w:right w:val="single" w:sz="4" w:space="0" w:color="231F20"/>
            </w:tcBorders>
          </w:tcPr>
          <w:p w14:paraId="34609C87"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5.11. Oil extraction.</w:t>
            </w:r>
          </w:p>
        </w:tc>
        <w:tc>
          <w:tcPr>
            <w:tcW w:w="701" w:type="dxa"/>
            <w:tcBorders>
              <w:top w:val="single" w:sz="2" w:space="0" w:color="231F20"/>
              <w:left w:val="single" w:sz="2" w:space="0" w:color="231F20"/>
              <w:bottom w:val="single" w:sz="2" w:space="0" w:color="231F20"/>
            </w:tcBorders>
            <w:vAlign w:val="bottom"/>
          </w:tcPr>
          <w:p w14:paraId="7961A92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32A238C5"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1468B90F"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2" w:space="0" w:color="231F20"/>
            </w:tcBorders>
            <w:vAlign w:val="bottom"/>
          </w:tcPr>
          <w:p w14:paraId="10901F9C"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04196F2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280B3203" w14:textId="77777777">
        <w:trPr>
          <w:trHeight w:val="368"/>
        </w:trPr>
        <w:tc>
          <w:tcPr>
            <w:tcW w:w="1845" w:type="dxa"/>
            <w:vMerge/>
            <w:tcBorders>
              <w:bottom w:val="single" w:sz="12" w:space="0" w:color="231F20"/>
              <w:right w:val="single" w:sz="2" w:space="0" w:color="231F20"/>
            </w:tcBorders>
          </w:tcPr>
          <w:p w14:paraId="5E6F64B8"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4" w:space="0" w:color="231F20"/>
              <w:left w:val="single" w:sz="4" w:space="0" w:color="231F20"/>
              <w:bottom w:val="single" w:sz="12" w:space="0" w:color="231F20"/>
              <w:right w:val="single" w:sz="4" w:space="0" w:color="231F20"/>
            </w:tcBorders>
          </w:tcPr>
          <w:p w14:paraId="7277E03A"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5.12. Herbal/Natural medicines.</w:t>
            </w:r>
          </w:p>
        </w:tc>
        <w:tc>
          <w:tcPr>
            <w:tcW w:w="701" w:type="dxa"/>
            <w:tcBorders>
              <w:top w:val="single" w:sz="2" w:space="0" w:color="231F20"/>
              <w:left w:val="single" w:sz="2" w:space="0" w:color="231F20"/>
              <w:bottom w:val="single" w:sz="12" w:space="0" w:color="231F20"/>
            </w:tcBorders>
            <w:vAlign w:val="bottom"/>
          </w:tcPr>
          <w:p w14:paraId="7BE1F4CC"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12" w:space="0" w:color="231F20"/>
            </w:tcBorders>
            <w:vAlign w:val="bottom"/>
          </w:tcPr>
          <w:p w14:paraId="26792D52"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12" w:space="0" w:color="231F20"/>
            </w:tcBorders>
            <w:vAlign w:val="bottom"/>
          </w:tcPr>
          <w:p w14:paraId="11CC7C55"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12" w:space="0" w:color="231F20"/>
            </w:tcBorders>
            <w:vAlign w:val="bottom"/>
          </w:tcPr>
          <w:p w14:paraId="6CCA7EAD"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12" w:type="dxa"/>
            <w:tcBorders>
              <w:top w:val="single" w:sz="2" w:space="0" w:color="231F20"/>
              <w:left w:val="single" w:sz="2" w:space="0" w:color="231F20"/>
              <w:bottom w:val="single" w:sz="12" w:space="0" w:color="231F20"/>
            </w:tcBorders>
            <w:vAlign w:val="bottom"/>
          </w:tcPr>
          <w:p w14:paraId="2F6A9CB9" w14:textId="77777777" w:rsidR="0099599B" w:rsidRDefault="0099599B">
            <w:pPr>
              <w:widowControl w:val="0"/>
              <w:autoSpaceDE w:val="0"/>
              <w:autoSpaceDN w:val="0"/>
              <w:spacing w:after="0" w:line="240" w:lineRule="auto"/>
              <w:jc w:val="center"/>
              <w:rPr>
                <w:rFonts w:eastAsia="Carlito"/>
                <w:sz w:val="28"/>
                <w:szCs w:val="28"/>
              </w:rPr>
            </w:pPr>
          </w:p>
        </w:tc>
      </w:tr>
      <w:tr w:rsidR="0099599B" w14:paraId="6A575A26" w14:textId="77777777">
        <w:trPr>
          <w:trHeight w:val="368"/>
        </w:trPr>
        <w:tc>
          <w:tcPr>
            <w:tcW w:w="1845" w:type="dxa"/>
            <w:vMerge w:val="restart"/>
            <w:tcBorders>
              <w:top w:val="single" w:sz="12" w:space="0" w:color="231F20"/>
              <w:right w:val="single" w:sz="2" w:space="0" w:color="231F20"/>
            </w:tcBorders>
          </w:tcPr>
          <w:p w14:paraId="508A5789"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 xml:space="preserve">6. Health </w:t>
            </w:r>
            <w:r>
              <w:rPr>
                <w:rFonts w:ascii="Carlito" w:eastAsia="Carlito" w:hAnsi="Carlito" w:cs="Carlito"/>
                <w:b/>
                <w:color w:val="231F20"/>
                <w:sz w:val="21"/>
              </w:rPr>
              <w:t>Facilities</w:t>
            </w:r>
            <w:r>
              <w:rPr>
                <w:rFonts w:ascii="Carlito" w:eastAsia="Carlito" w:hAnsi="Carlito" w:cs="Carlito"/>
                <w:sz w:val="2"/>
                <w:szCs w:val="2"/>
              </w:rPr>
              <w:t xml:space="preserve"> </w:t>
            </w:r>
          </w:p>
        </w:tc>
        <w:tc>
          <w:tcPr>
            <w:tcW w:w="4239" w:type="dxa"/>
            <w:tcBorders>
              <w:top w:val="single" w:sz="12" w:space="0" w:color="231F20"/>
              <w:left w:val="single" w:sz="2" w:space="0" w:color="231F20"/>
              <w:bottom w:val="single" w:sz="2" w:space="0" w:color="231F20"/>
              <w:right w:val="nil"/>
            </w:tcBorders>
          </w:tcPr>
          <w:p w14:paraId="664CF051" w14:textId="77777777" w:rsidR="0099599B" w:rsidRDefault="00EB7A3F">
            <w:pPr>
              <w:widowControl w:val="0"/>
              <w:autoSpaceDE w:val="0"/>
              <w:autoSpaceDN w:val="0"/>
              <w:spacing w:before="125" w:after="0" w:line="240" w:lineRule="auto"/>
              <w:ind w:left="120"/>
              <w:rPr>
                <w:rFonts w:ascii="Carlito" w:eastAsia="Carlito" w:hAnsi="Carlito" w:cs="Carlito"/>
                <w:sz w:val="21"/>
              </w:rPr>
            </w:pPr>
            <w:r>
              <w:rPr>
                <w:rFonts w:ascii="Carlito" w:eastAsia="Carlito" w:hAnsi="Carlito" w:cs="Carlito"/>
                <w:color w:val="231F20"/>
                <w:w w:val="105"/>
                <w:sz w:val="21"/>
              </w:rPr>
              <w:t>6.1. CHIP Compound.</w:t>
            </w:r>
          </w:p>
        </w:tc>
        <w:tc>
          <w:tcPr>
            <w:tcW w:w="701" w:type="dxa"/>
            <w:tcBorders>
              <w:top w:val="single" w:sz="12" w:space="0" w:color="231F20"/>
              <w:left w:val="single" w:sz="2" w:space="0" w:color="231F20"/>
              <w:bottom w:val="single" w:sz="2" w:space="0" w:color="231F20"/>
            </w:tcBorders>
            <w:vAlign w:val="bottom"/>
          </w:tcPr>
          <w:p w14:paraId="30AC538E"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12" w:space="0" w:color="231F20"/>
              <w:left w:val="single" w:sz="2" w:space="0" w:color="231F20"/>
              <w:bottom w:val="single" w:sz="2" w:space="0" w:color="231F20"/>
            </w:tcBorders>
            <w:vAlign w:val="bottom"/>
          </w:tcPr>
          <w:p w14:paraId="5E0E394A"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12" w:space="0" w:color="231F20"/>
              <w:left w:val="single" w:sz="2" w:space="0" w:color="231F20"/>
              <w:bottom w:val="single" w:sz="2" w:space="0" w:color="231F20"/>
            </w:tcBorders>
            <w:vAlign w:val="bottom"/>
          </w:tcPr>
          <w:p w14:paraId="62B8A964"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12" w:space="0" w:color="231F20"/>
              <w:left w:val="single" w:sz="2" w:space="0" w:color="231F20"/>
              <w:bottom w:val="single" w:sz="2" w:space="0" w:color="231F20"/>
            </w:tcBorders>
            <w:vAlign w:val="bottom"/>
          </w:tcPr>
          <w:p w14:paraId="6147558A"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12" w:type="dxa"/>
            <w:tcBorders>
              <w:top w:val="single" w:sz="12" w:space="0" w:color="231F20"/>
              <w:left w:val="single" w:sz="2" w:space="0" w:color="231F20"/>
              <w:bottom w:val="single" w:sz="2" w:space="0" w:color="231F20"/>
            </w:tcBorders>
            <w:vAlign w:val="bottom"/>
          </w:tcPr>
          <w:p w14:paraId="08A984C6" w14:textId="77777777" w:rsidR="0099599B" w:rsidRDefault="0099599B">
            <w:pPr>
              <w:widowControl w:val="0"/>
              <w:autoSpaceDE w:val="0"/>
              <w:autoSpaceDN w:val="0"/>
              <w:spacing w:after="0" w:line="240" w:lineRule="auto"/>
              <w:jc w:val="center"/>
              <w:rPr>
                <w:rFonts w:eastAsia="Carlito"/>
                <w:sz w:val="28"/>
                <w:szCs w:val="28"/>
              </w:rPr>
            </w:pPr>
          </w:p>
        </w:tc>
      </w:tr>
      <w:tr w:rsidR="0099599B" w14:paraId="2529A295" w14:textId="77777777">
        <w:trPr>
          <w:trHeight w:val="368"/>
        </w:trPr>
        <w:tc>
          <w:tcPr>
            <w:tcW w:w="1845" w:type="dxa"/>
            <w:vMerge/>
            <w:tcBorders>
              <w:right w:val="single" w:sz="2" w:space="0" w:color="231F20"/>
            </w:tcBorders>
          </w:tcPr>
          <w:p w14:paraId="342A42D1"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nil"/>
            </w:tcBorders>
          </w:tcPr>
          <w:p w14:paraId="54520BB0" w14:textId="77777777" w:rsidR="0099599B" w:rsidRDefault="00EB7A3F">
            <w:pPr>
              <w:widowControl w:val="0"/>
              <w:autoSpaceDE w:val="0"/>
              <w:autoSpaceDN w:val="0"/>
              <w:spacing w:before="166" w:after="0" w:line="240" w:lineRule="auto"/>
              <w:ind w:right="46"/>
              <w:rPr>
                <w:rFonts w:ascii="Carlito" w:eastAsia="Carlito" w:hAnsi="Carlito" w:cs="Carlito"/>
                <w:sz w:val="21"/>
              </w:rPr>
            </w:pPr>
            <w:r>
              <w:rPr>
                <w:rFonts w:ascii="Carlito" w:eastAsia="Carlito" w:hAnsi="Carlito" w:cs="Carlito"/>
                <w:color w:val="231F20"/>
                <w:w w:val="105"/>
                <w:sz w:val="21"/>
              </w:rPr>
              <w:t xml:space="preserve">  6.2. Public Hospital.</w:t>
            </w:r>
          </w:p>
        </w:tc>
        <w:tc>
          <w:tcPr>
            <w:tcW w:w="701" w:type="dxa"/>
            <w:tcBorders>
              <w:top w:val="single" w:sz="2" w:space="0" w:color="231F20"/>
              <w:left w:val="single" w:sz="2" w:space="0" w:color="231F20"/>
              <w:bottom w:val="single" w:sz="2" w:space="0" w:color="231F20"/>
            </w:tcBorders>
            <w:vAlign w:val="bottom"/>
          </w:tcPr>
          <w:p w14:paraId="6A974EE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49B9F5D0"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7E1811DD"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2" w:space="0" w:color="231F20"/>
              <w:left w:val="single" w:sz="2" w:space="0" w:color="231F20"/>
              <w:bottom w:val="single" w:sz="2" w:space="0" w:color="231F20"/>
            </w:tcBorders>
            <w:vAlign w:val="bottom"/>
          </w:tcPr>
          <w:p w14:paraId="7C723B4D"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4559E817" w14:textId="77777777" w:rsidR="0099599B" w:rsidRDefault="0099599B">
            <w:pPr>
              <w:widowControl w:val="0"/>
              <w:autoSpaceDE w:val="0"/>
              <w:autoSpaceDN w:val="0"/>
              <w:spacing w:after="0" w:line="240" w:lineRule="auto"/>
              <w:jc w:val="center"/>
              <w:rPr>
                <w:rFonts w:eastAsia="Carlito"/>
                <w:sz w:val="28"/>
                <w:szCs w:val="28"/>
              </w:rPr>
            </w:pPr>
          </w:p>
        </w:tc>
      </w:tr>
      <w:tr w:rsidR="0099599B" w14:paraId="6800E760" w14:textId="77777777">
        <w:trPr>
          <w:trHeight w:val="368"/>
        </w:trPr>
        <w:tc>
          <w:tcPr>
            <w:tcW w:w="1845" w:type="dxa"/>
            <w:vMerge/>
            <w:tcBorders>
              <w:right w:val="single" w:sz="2" w:space="0" w:color="231F20"/>
            </w:tcBorders>
          </w:tcPr>
          <w:p w14:paraId="494EFB01"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12" w:space="0" w:color="231F20"/>
              <w:right w:val="nil"/>
            </w:tcBorders>
          </w:tcPr>
          <w:p w14:paraId="76003D23"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 xml:space="preserve">  6.3. Clinic.</w:t>
            </w:r>
          </w:p>
        </w:tc>
        <w:tc>
          <w:tcPr>
            <w:tcW w:w="701" w:type="dxa"/>
            <w:tcBorders>
              <w:top w:val="single" w:sz="2" w:space="0" w:color="231F20"/>
              <w:left w:val="single" w:sz="2" w:space="0" w:color="231F20"/>
              <w:bottom w:val="single" w:sz="12" w:space="0" w:color="231F20"/>
            </w:tcBorders>
            <w:vAlign w:val="bottom"/>
          </w:tcPr>
          <w:p w14:paraId="02365783"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12" w:space="0" w:color="231F20"/>
            </w:tcBorders>
            <w:vAlign w:val="bottom"/>
          </w:tcPr>
          <w:p w14:paraId="79C7F05D"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12" w:space="0" w:color="231F20"/>
            </w:tcBorders>
            <w:vAlign w:val="bottom"/>
          </w:tcPr>
          <w:p w14:paraId="065D0D5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2" w:space="0" w:color="231F20"/>
              <w:left w:val="single" w:sz="2" w:space="0" w:color="231F20"/>
              <w:bottom w:val="single" w:sz="12" w:space="0" w:color="231F20"/>
            </w:tcBorders>
            <w:vAlign w:val="bottom"/>
          </w:tcPr>
          <w:p w14:paraId="3AD555DD"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12" w:space="0" w:color="231F20"/>
            </w:tcBorders>
            <w:vAlign w:val="bottom"/>
          </w:tcPr>
          <w:p w14:paraId="254BCCEA" w14:textId="77777777" w:rsidR="0099599B" w:rsidRDefault="0099599B">
            <w:pPr>
              <w:widowControl w:val="0"/>
              <w:autoSpaceDE w:val="0"/>
              <w:autoSpaceDN w:val="0"/>
              <w:spacing w:after="0" w:line="240" w:lineRule="auto"/>
              <w:jc w:val="center"/>
              <w:rPr>
                <w:rFonts w:eastAsia="Carlito"/>
                <w:sz w:val="28"/>
                <w:szCs w:val="28"/>
              </w:rPr>
            </w:pPr>
          </w:p>
        </w:tc>
      </w:tr>
      <w:tr w:rsidR="0099599B" w14:paraId="7D270CF5" w14:textId="77777777">
        <w:trPr>
          <w:trHeight w:val="368"/>
        </w:trPr>
        <w:tc>
          <w:tcPr>
            <w:tcW w:w="1845" w:type="dxa"/>
            <w:vMerge w:val="restart"/>
            <w:tcBorders>
              <w:right w:val="single" w:sz="2" w:space="0" w:color="231F20"/>
            </w:tcBorders>
          </w:tcPr>
          <w:p w14:paraId="05B93AD3" w14:textId="77777777" w:rsidR="0099599B" w:rsidRDefault="00EB7A3F">
            <w:pPr>
              <w:widowControl w:val="0"/>
              <w:autoSpaceDE w:val="0"/>
              <w:autoSpaceDN w:val="0"/>
              <w:spacing w:before="6" w:after="0" w:line="252" w:lineRule="auto"/>
              <w:ind w:left="109" w:right="72"/>
              <w:rPr>
                <w:rFonts w:ascii="Carlito" w:eastAsia="Carlito" w:hAnsi="Carlito" w:cs="Carlito"/>
                <w:b/>
                <w:sz w:val="21"/>
              </w:rPr>
            </w:pPr>
            <w:r>
              <w:rPr>
                <w:rFonts w:ascii="Carlito" w:eastAsia="Carlito" w:hAnsi="Carlito" w:cs="Carlito"/>
                <w:b/>
                <w:color w:val="231F20"/>
                <w:w w:val="105"/>
                <w:sz w:val="21"/>
              </w:rPr>
              <w:t>7. Specialized Health Staff and Services</w:t>
            </w:r>
          </w:p>
          <w:p w14:paraId="2E12682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12" w:space="0" w:color="231F20"/>
              <w:left w:val="single" w:sz="2" w:space="0" w:color="231F20"/>
              <w:bottom w:val="single" w:sz="2" w:space="0" w:color="231F20"/>
              <w:right w:val="nil"/>
            </w:tcBorders>
          </w:tcPr>
          <w:p w14:paraId="133350AE"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 xml:space="preserve">  7.1 Midwife (government/traditional).</w:t>
            </w:r>
          </w:p>
        </w:tc>
        <w:tc>
          <w:tcPr>
            <w:tcW w:w="701" w:type="dxa"/>
            <w:tcBorders>
              <w:top w:val="single" w:sz="12" w:space="0" w:color="231F20"/>
              <w:left w:val="single" w:sz="2" w:space="0" w:color="231F20"/>
              <w:bottom w:val="single" w:sz="2" w:space="0" w:color="231F20"/>
            </w:tcBorders>
            <w:vAlign w:val="bottom"/>
          </w:tcPr>
          <w:p w14:paraId="32AADDE2"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12" w:space="0" w:color="231F20"/>
              <w:left w:val="single" w:sz="2" w:space="0" w:color="231F20"/>
              <w:bottom w:val="single" w:sz="2" w:space="0" w:color="231F20"/>
            </w:tcBorders>
            <w:vAlign w:val="bottom"/>
          </w:tcPr>
          <w:p w14:paraId="600EE331"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12" w:space="0" w:color="231F20"/>
              <w:left w:val="single" w:sz="2" w:space="0" w:color="231F20"/>
              <w:bottom w:val="single" w:sz="2" w:space="0" w:color="231F20"/>
            </w:tcBorders>
            <w:vAlign w:val="bottom"/>
          </w:tcPr>
          <w:p w14:paraId="362EC29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12" w:space="0" w:color="231F20"/>
              <w:left w:val="single" w:sz="2" w:space="0" w:color="231F20"/>
              <w:bottom w:val="single" w:sz="2" w:space="0" w:color="231F20"/>
            </w:tcBorders>
            <w:vAlign w:val="bottom"/>
          </w:tcPr>
          <w:p w14:paraId="3AEB0081"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12" w:space="0" w:color="231F20"/>
              <w:left w:val="single" w:sz="2" w:space="0" w:color="231F20"/>
              <w:bottom w:val="single" w:sz="2" w:space="0" w:color="231F20"/>
            </w:tcBorders>
            <w:vAlign w:val="bottom"/>
          </w:tcPr>
          <w:p w14:paraId="647F27CF" w14:textId="77777777" w:rsidR="0099599B" w:rsidRDefault="0099599B">
            <w:pPr>
              <w:widowControl w:val="0"/>
              <w:autoSpaceDE w:val="0"/>
              <w:autoSpaceDN w:val="0"/>
              <w:spacing w:after="0" w:line="240" w:lineRule="auto"/>
              <w:jc w:val="center"/>
              <w:rPr>
                <w:rFonts w:eastAsia="Carlito"/>
                <w:sz w:val="28"/>
                <w:szCs w:val="28"/>
              </w:rPr>
            </w:pPr>
          </w:p>
        </w:tc>
      </w:tr>
      <w:tr w:rsidR="0099599B" w14:paraId="78C646FB" w14:textId="77777777">
        <w:trPr>
          <w:trHeight w:val="368"/>
        </w:trPr>
        <w:tc>
          <w:tcPr>
            <w:tcW w:w="1845" w:type="dxa"/>
            <w:vMerge/>
            <w:tcBorders>
              <w:right w:val="single" w:sz="2" w:space="0" w:color="231F20"/>
            </w:tcBorders>
          </w:tcPr>
          <w:p w14:paraId="5E290E42"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6814F289"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 xml:space="preserve">  7.2</w:t>
            </w:r>
            <w:r>
              <w:rPr>
                <w:rFonts w:ascii="Carlito" w:eastAsia="Carlito" w:hAnsi="Carlito" w:cs="Carlito"/>
                <w:color w:val="231F20"/>
                <w:spacing w:val="-2"/>
                <w:w w:val="105"/>
                <w:sz w:val="21"/>
              </w:rPr>
              <w:t xml:space="preserve"> </w:t>
            </w:r>
            <w:r>
              <w:rPr>
                <w:rFonts w:ascii="Carlito" w:eastAsia="Carlito" w:hAnsi="Carlito" w:cs="Carlito"/>
                <w:color w:val="231F20"/>
                <w:w w:val="105"/>
                <w:sz w:val="21"/>
              </w:rPr>
              <w:t>Dentist</w:t>
            </w:r>
          </w:p>
        </w:tc>
        <w:tc>
          <w:tcPr>
            <w:tcW w:w="701" w:type="dxa"/>
            <w:tcBorders>
              <w:top w:val="single" w:sz="2" w:space="0" w:color="231F20"/>
              <w:left w:val="single" w:sz="2" w:space="0" w:color="231F20"/>
              <w:bottom w:val="single" w:sz="2" w:space="0" w:color="231F20"/>
            </w:tcBorders>
            <w:vAlign w:val="bottom"/>
          </w:tcPr>
          <w:p w14:paraId="06A95594"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2944C025"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4D8C19D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2" w:space="0" w:color="231F20"/>
              <w:left w:val="single" w:sz="2" w:space="0" w:color="231F20"/>
              <w:bottom w:val="single" w:sz="2" w:space="0" w:color="231F20"/>
            </w:tcBorders>
            <w:vAlign w:val="bottom"/>
          </w:tcPr>
          <w:p w14:paraId="12C7409E"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0106B123" w14:textId="77777777" w:rsidR="0099599B" w:rsidRDefault="0099599B">
            <w:pPr>
              <w:widowControl w:val="0"/>
              <w:autoSpaceDE w:val="0"/>
              <w:autoSpaceDN w:val="0"/>
              <w:spacing w:after="0" w:line="240" w:lineRule="auto"/>
              <w:jc w:val="center"/>
              <w:rPr>
                <w:rFonts w:eastAsia="Carlito"/>
                <w:sz w:val="28"/>
                <w:szCs w:val="28"/>
              </w:rPr>
            </w:pPr>
          </w:p>
        </w:tc>
      </w:tr>
      <w:tr w:rsidR="0099599B" w14:paraId="0C8D7BBE" w14:textId="77777777">
        <w:trPr>
          <w:trHeight w:val="368"/>
        </w:trPr>
        <w:tc>
          <w:tcPr>
            <w:tcW w:w="1845" w:type="dxa"/>
            <w:vMerge/>
            <w:tcBorders>
              <w:right w:val="single" w:sz="2" w:space="0" w:color="231F20"/>
            </w:tcBorders>
          </w:tcPr>
          <w:p w14:paraId="699DFF06"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2" w:space="0" w:color="231F20"/>
              <w:right w:val="single" w:sz="2" w:space="0" w:color="231F20"/>
            </w:tcBorders>
          </w:tcPr>
          <w:p w14:paraId="6D4D6783"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 xml:space="preserve">  7.3 Eye specialist.</w:t>
            </w:r>
          </w:p>
        </w:tc>
        <w:tc>
          <w:tcPr>
            <w:tcW w:w="701" w:type="dxa"/>
            <w:tcBorders>
              <w:top w:val="single" w:sz="2" w:space="0" w:color="231F20"/>
              <w:left w:val="single" w:sz="2" w:space="0" w:color="231F20"/>
              <w:bottom w:val="single" w:sz="2" w:space="0" w:color="231F20"/>
            </w:tcBorders>
            <w:vAlign w:val="bottom"/>
          </w:tcPr>
          <w:p w14:paraId="4D8900BA"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2" w:space="0" w:color="231F20"/>
            </w:tcBorders>
            <w:vAlign w:val="bottom"/>
          </w:tcPr>
          <w:p w14:paraId="1BEDCE64"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2" w:space="0" w:color="231F20"/>
            </w:tcBorders>
            <w:vAlign w:val="bottom"/>
          </w:tcPr>
          <w:p w14:paraId="0D139E9C"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38" w:type="dxa"/>
            <w:tcBorders>
              <w:top w:val="single" w:sz="2" w:space="0" w:color="231F20"/>
              <w:left w:val="single" w:sz="2" w:space="0" w:color="231F20"/>
              <w:bottom w:val="single" w:sz="2" w:space="0" w:color="231F20"/>
            </w:tcBorders>
            <w:vAlign w:val="bottom"/>
          </w:tcPr>
          <w:p w14:paraId="44B876B3"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2" w:space="0" w:color="231F20"/>
            </w:tcBorders>
            <w:vAlign w:val="bottom"/>
          </w:tcPr>
          <w:p w14:paraId="73AE9B6C" w14:textId="77777777" w:rsidR="0099599B" w:rsidRDefault="0099599B">
            <w:pPr>
              <w:widowControl w:val="0"/>
              <w:autoSpaceDE w:val="0"/>
              <w:autoSpaceDN w:val="0"/>
              <w:spacing w:after="0" w:line="240" w:lineRule="auto"/>
              <w:jc w:val="center"/>
              <w:rPr>
                <w:rFonts w:eastAsia="Carlito"/>
                <w:sz w:val="28"/>
                <w:szCs w:val="28"/>
              </w:rPr>
            </w:pPr>
          </w:p>
        </w:tc>
      </w:tr>
      <w:tr w:rsidR="0099599B" w14:paraId="18A52511" w14:textId="77777777">
        <w:trPr>
          <w:trHeight w:val="368"/>
        </w:trPr>
        <w:tc>
          <w:tcPr>
            <w:tcW w:w="1845" w:type="dxa"/>
            <w:vMerge/>
            <w:tcBorders>
              <w:right w:val="single" w:sz="2" w:space="0" w:color="231F20"/>
            </w:tcBorders>
          </w:tcPr>
          <w:p w14:paraId="2AD0E517"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239" w:type="dxa"/>
            <w:tcBorders>
              <w:top w:val="single" w:sz="2" w:space="0" w:color="231F20"/>
              <w:left w:val="single" w:sz="2" w:space="0" w:color="231F20"/>
              <w:bottom w:val="single" w:sz="12" w:space="0" w:color="231F20"/>
              <w:right w:val="single" w:sz="2" w:space="0" w:color="231F20"/>
            </w:tcBorders>
          </w:tcPr>
          <w:p w14:paraId="2AF17E9F"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 xml:space="preserve">  7.4. Pharmacy.</w:t>
            </w:r>
          </w:p>
        </w:tc>
        <w:tc>
          <w:tcPr>
            <w:tcW w:w="701" w:type="dxa"/>
            <w:tcBorders>
              <w:top w:val="single" w:sz="2" w:space="0" w:color="231F20"/>
              <w:left w:val="single" w:sz="2" w:space="0" w:color="231F20"/>
              <w:bottom w:val="single" w:sz="12" w:space="0" w:color="231F20"/>
            </w:tcBorders>
            <w:vAlign w:val="bottom"/>
          </w:tcPr>
          <w:p w14:paraId="0D935662"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701" w:type="dxa"/>
            <w:tcBorders>
              <w:top w:val="single" w:sz="2" w:space="0" w:color="231F20"/>
              <w:left w:val="single" w:sz="2" w:space="0" w:color="231F20"/>
              <w:bottom w:val="single" w:sz="12" w:space="0" w:color="231F20"/>
            </w:tcBorders>
            <w:vAlign w:val="bottom"/>
          </w:tcPr>
          <w:p w14:paraId="68659F0D" w14:textId="77777777" w:rsidR="0099599B" w:rsidRDefault="0099599B">
            <w:pPr>
              <w:widowControl w:val="0"/>
              <w:autoSpaceDE w:val="0"/>
              <w:autoSpaceDN w:val="0"/>
              <w:spacing w:after="0" w:line="240" w:lineRule="auto"/>
              <w:jc w:val="center"/>
              <w:rPr>
                <w:rFonts w:eastAsia="Carlito"/>
                <w:sz w:val="28"/>
                <w:szCs w:val="28"/>
              </w:rPr>
            </w:pPr>
          </w:p>
        </w:tc>
        <w:tc>
          <w:tcPr>
            <w:tcW w:w="642" w:type="dxa"/>
            <w:tcBorders>
              <w:top w:val="single" w:sz="2" w:space="0" w:color="231F20"/>
              <w:left w:val="single" w:sz="2" w:space="0" w:color="231F20"/>
              <w:bottom w:val="single" w:sz="12" w:space="0" w:color="231F20"/>
            </w:tcBorders>
            <w:vAlign w:val="bottom"/>
          </w:tcPr>
          <w:p w14:paraId="1D93B16F" w14:textId="77777777" w:rsidR="0099599B" w:rsidRDefault="0099599B">
            <w:pPr>
              <w:widowControl w:val="0"/>
              <w:autoSpaceDE w:val="0"/>
              <w:autoSpaceDN w:val="0"/>
              <w:spacing w:after="0" w:line="240" w:lineRule="auto"/>
              <w:jc w:val="center"/>
              <w:rPr>
                <w:rFonts w:eastAsia="Carlito"/>
                <w:sz w:val="28"/>
                <w:szCs w:val="28"/>
              </w:rPr>
            </w:pPr>
          </w:p>
        </w:tc>
        <w:tc>
          <w:tcPr>
            <w:tcW w:w="538" w:type="dxa"/>
            <w:tcBorders>
              <w:top w:val="single" w:sz="2" w:space="0" w:color="231F20"/>
              <w:left w:val="single" w:sz="2" w:space="0" w:color="231F20"/>
              <w:bottom w:val="single" w:sz="12" w:space="0" w:color="231F20"/>
            </w:tcBorders>
            <w:vAlign w:val="bottom"/>
          </w:tcPr>
          <w:p w14:paraId="460A9E87" w14:textId="77777777" w:rsidR="0099599B" w:rsidRDefault="0099599B">
            <w:pPr>
              <w:widowControl w:val="0"/>
              <w:autoSpaceDE w:val="0"/>
              <w:autoSpaceDN w:val="0"/>
              <w:spacing w:after="0" w:line="240" w:lineRule="auto"/>
              <w:jc w:val="center"/>
              <w:rPr>
                <w:rFonts w:eastAsia="Carlito"/>
                <w:sz w:val="28"/>
                <w:szCs w:val="28"/>
              </w:rPr>
            </w:pPr>
          </w:p>
        </w:tc>
        <w:tc>
          <w:tcPr>
            <w:tcW w:w="612" w:type="dxa"/>
            <w:tcBorders>
              <w:top w:val="single" w:sz="2" w:space="0" w:color="231F20"/>
              <w:left w:val="single" w:sz="2" w:space="0" w:color="231F20"/>
              <w:bottom w:val="single" w:sz="12" w:space="0" w:color="231F20"/>
            </w:tcBorders>
            <w:vAlign w:val="bottom"/>
          </w:tcPr>
          <w:p w14:paraId="20708B85"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bl>
    <w:p w14:paraId="128BB60D" w14:textId="77777777" w:rsidR="0099599B" w:rsidRDefault="0099599B"/>
    <w:p w14:paraId="14D3BF08" w14:textId="77777777" w:rsidR="0099599B" w:rsidRDefault="0099599B"/>
    <w:tbl>
      <w:tblPr>
        <w:tblW w:w="9292" w:type="dxa"/>
        <w:tblInd w:w="-1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4A0" w:firstRow="1" w:lastRow="0" w:firstColumn="1" w:lastColumn="0" w:noHBand="0" w:noVBand="1"/>
      </w:tblPr>
      <w:tblGrid>
        <w:gridCol w:w="1701"/>
        <w:gridCol w:w="4382"/>
        <w:gridCol w:w="716"/>
        <w:gridCol w:w="657"/>
        <w:gridCol w:w="672"/>
        <w:gridCol w:w="656"/>
        <w:gridCol w:w="508"/>
      </w:tblGrid>
      <w:tr w:rsidR="0099599B" w14:paraId="739803AC" w14:textId="77777777">
        <w:trPr>
          <w:trHeight w:val="501"/>
        </w:trPr>
        <w:tc>
          <w:tcPr>
            <w:tcW w:w="1701" w:type="dxa"/>
            <w:tcBorders>
              <w:right w:val="single" w:sz="2" w:space="0" w:color="231F20"/>
            </w:tcBorders>
          </w:tcPr>
          <w:p w14:paraId="1A545320" w14:textId="77777777" w:rsidR="0099599B" w:rsidRDefault="00EB7A3F">
            <w:pPr>
              <w:widowControl w:val="0"/>
              <w:autoSpaceDE w:val="0"/>
              <w:autoSpaceDN w:val="0"/>
              <w:spacing w:before="44" w:after="0" w:line="252" w:lineRule="auto"/>
              <w:ind w:left="109" w:right="472"/>
              <w:jc w:val="center"/>
              <w:rPr>
                <w:rFonts w:ascii="Carlito" w:eastAsia="Carlito" w:hAnsi="Carlito" w:cs="Carlito"/>
                <w:b/>
                <w:color w:val="231F20"/>
                <w:w w:val="105"/>
                <w:sz w:val="21"/>
              </w:rPr>
            </w:pPr>
            <w:r>
              <w:rPr>
                <w:rFonts w:ascii="Carlito" w:eastAsia="Carlito" w:hAnsi="Carlito" w:cs="Carlito"/>
                <w:b/>
                <w:color w:val="231F20"/>
                <w:w w:val="105"/>
                <w:sz w:val="21"/>
              </w:rPr>
              <w:lastRenderedPageBreak/>
              <w:t>Category</w:t>
            </w:r>
          </w:p>
        </w:tc>
        <w:tc>
          <w:tcPr>
            <w:tcW w:w="4382" w:type="dxa"/>
            <w:tcBorders>
              <w:left w:val="single" w:sz="2" w:space="0" w:color="231F20"/>
              <w:bottom w:val="single" w:sz="2" w:space="0" w:color="231F20"/>
              <w:right w:val="single" w:sz="2" w:space="0" w:color="231F20"/>
            </w:tcBorders>
          </w:tcPr>
          <w:p w14:paraId="3005B576" w14:textId="77777777" w:rsidR="0099599B" w:rsidRDefault="00EB7A3F">
            <w:pPr>
              <w:widowControl w:val="0"/>
              <w:autoSpaceDE w:val="0"/>
              <w:autoSpaceDN w:val="0"/>
              <w:spacing w:before="126" w:after="0" w:line="252" w:lineRule="auto"/>
              <w:ind w:left="153" w:right="45"/>
              <w:jc w:val="center"/>
              <w:rPr>
                <w:rFonts w:ascii="Carlito" w:eastAsia="Carlito" w:hAnsi="Carlito" w:cs="Carlito"/>
                <w:b/>
                <w:color w:val="231F20"/>
                <w:w w:val="105"/>
                <w:sz w:val="21"/>
              </w:rPr>
            </w:pPr>
            <w:r>
              <w:rPr>
                <w:rFonts w:ascii="Carlito" w:eastAsia="Carlito" w:hAnsi="Carlito" w:cs="Carlito"/>
                <w:b/>
                <w:color w:val="231F20"/>
                <w:w w:val="105"/>
                <w:sz w:val="21"/>
              </w:rPr>
              <w:t>Name</w:t>
            </w:r>
            <w:r>
              <w:rPr>
                <w:rFonts w:ascii="Carlito" w:eastAsia="Carlito" w:hAnsi="Carlito" w:cs="Carlito"/>
                <w:b/>
                <w:color w:val="231F20"/>
                <w:w w:val="105"/>
                <w:sz w:val="21"/>
              </w:rPr>
              <w:tab/>
              <w:t>of</w:t>
            </w:r>
            <w:r>
              <w:rPr>
                <w:rFonts w:ascii="Carlito" w:eastAsia="Carlito" w:hAnsi="Carlito" w:cs="Carlito"/>
                <w:b/>
                <w:color w:val="231F20"/>
                <w:w w:val="105"/>
                <w:sz w:val="21"/>
              </w:rPr>
              <w:tab/>
              <w:t>function</w:t>
            </w:r>
          </w:p>
        </w:tc>
        <w:tc>
          <w:tcPr>
            <w:tcW w:w="1373" w:type="dxa"/>
            <w:gridSpan w:val="2"/>
            <w:tcBorders>
              <w:left w:val="single" w:sz="2" w:space="0" w:color="231F20"/>
              <w:bottom w:val="single" w:sz="2" w:space="0" w:color="231F20"/>
            </w:tcBorders>
          </w:tcPr>
          <w:p w14:paraId="660F4A9A" w14:textId="77777777" w:rsidR="0099599B" w:rsidRDefault="00EB7A3F">
            <w:pPr>
              <w:widowControl w:val="0"/>
              <w:autoSpaceDE w:val="0"/>
              <w:autoSpaceDN w:val="0"/>
              <w:spacing w:after="0" w:line="240" w:lineRule="auto"/>
              <w:jc w:val="center"/>
              <w:rPr>
                <w:rFonts w:eastAsia="Carlito" w:hAnsi="Carlito" w:cs="Carlito"/>
                <w:b/>
                <w:sz w:val="20"/>
              </w:rPr>
            </w:pPr>
            <w:r>
              <w:rPr>
                <w:rFonts w:eastAsia="Carlito" w:hAnsi="Carlito" w:cs="Carlito"/>
                <w:b/>
                <w:sz w:val="20"/>
              </w:rPr>
              <w:t>Presence</w:t>
            </w:r>
          </w:p>
        </w:tc>
        <w:tc>
          <w:tcPr>
            <w:tcW w:w="1836" w:type="dxa"/>
            <w:gridSpan w:val="3"/>
            <w:tcBorders>
              <w:left w:val="single" w:sz="2" w:space="0" w:color="231F20"/>
              <w:bottom w:val="single" w:sz="2" w:space="0" w:color="231F20"/>
            </w:tcBorders>
          </w:tcPr>
          <w:p w14:paraId="73ADF4DF" w14:textId="77777777" w:rsidR="0099599B" w:rsidRDefault="00EB7A3F">
            <w:pPr>
              <w:widowControl w:val="0"/>
              <w:autoSpaceDE w:val="0"/>
              <w:autoSpaceDN w:val="0"/>
              <w:spacing w:after="0" w:line="240" w:lineRule="auto"/>
              <w:jc w:val="center"/>
              <w:rPr>
                <w:rFonts w:eastAsia="Carlito" w:hAnsi="Carlito" w:cs="Carlito"/>
                <w:b/>
                <w:sz w:val="20"/>
              </w:rPr>
            </w:pPr>
            <w:r>
              <w:rPr>
                <w:rFonts w:eastAsia="Carlito" w:hAnsi="Carlito" w:cs="Carlito"/>
                <w:bCs/>
                <w:sz w:val="20"/>
              </w:rPr>
              <w:t>No. Available in town/village</w:t>
            </w:r>
          </w:p>
        </w:tc>
      </w:tr>
      <w:tr w:rsidR="0099599B" w14:paraId="0FD7EA6A" w14:textId="77777777">
        <w:trPr>
          <w:trHeight w:val="519"/>
        </w:trPr>
        <w:tc>
          <w:tcPr>
            <w:tcW w:w="1701" w:type="dxa"/>
            <w:vMerge w:val="restart"/>
            <w:tcBorders>
              <w:right w:val="single" w:sz="2" w:space="0" w:color="231F20"/>
            </w:tcBorders>
          </w:tcPr>
          <w:p w14:paraId="29D1D6A5" w14:textId="77777777" w:rsidR="0099599B" w:rsidRDefault="00EB7A3F">
            <w:pPr>
              <w:widowControl w:val="0"/>
              <w:autoSpaceDE w:val="0"/>
              <w:autoSpaceDN w:val="0"/>
              <w:spacing w:after="0" w:line="247" w:lineRule="auto"/>
              <w:ind w:left="109" w:right="258"/>
              <w:rPr>
                <w:rFonts w:ascii="Carlito" w:eastAsia="Carlito" w:hAnsi="Carlito" w:cs="Carlito"/>
                <w:b/>
                <w:sz w:val="21"/>
              </w:rPr>
            </w:pPr>
            <w:r>
              <w:rPr>
                <w:rFonts w:ascii="Carlito" w:eastAsia="Carlito" w:hAnsi="Carlito" w:cs="Carlito"/>
                <w:color w:val="231F20"/>
                <w:w w:val="105"/>
                <w:sz w:val="21"/>
              </w:rPr>
              <w:t>8</w:t>
            </w:r>
            <w:r>
              <w:rPr>
                <w:rFonts w:ascii="Carlito" w:eastAsia="Carlito" w:hAnsi="Carlito" w:cs="Carlito"/>
                <w:b/>
                <w:color w:val="231F20"/>
                <w:w w:val="105"/>
                <w:sz w:val="21"/>
              </w:rPr>
              <w:t>. Educational Institutions</w:t>
            </w:r>
          </w:p>
          <w:p w14:paraId="722446D7" w14:textId="77777777" w:rsidR="0099599B" w:rsidRDefault="0099599B">
            <w:pPr>
              <w:widowControl w:val="0"/>
              <w:autoSpaceDE w:val="0"/>
              <w:autoSpaceDN w:val="0"/>
              <w:spacing w:before="82" w:after="0" w:line="252" w:lineRule="auto"/>
              <w:ind w:left="109" w:right="88"/>
              <w:rPr>
                <w:rFonts w:ascii="Carlito" w:eastAsia="Carlito" w:hAnsi="Carlito" w:cs="Carlito"/>
                <w:b/>
                <w:sz w:val="21"/>
              </w:rPr>
            </w:pPr>
          </w:p>
        </w:tc>
        <w:tc>
          <w:tcPr>
            <w:tcW w:w="4382" w:type="dxa"/>
            <w:tcBorders>
              <w:left w:val="single" w:sz="2" w:space="0" w:color="231F20"/>
              <w:bottom w:val="single" w:sz="2" w:space="0" w:color="231F20"/>
              <w:right w:val="single" w:sz="2" w:space="0" w:color="231F20"/>
            </w:tcBorders>
          </w:tcPr>
          <w:p w14:paraId="74BE8A35" w14:textId="77777777" w:rsidR="0099599B" w:rsidRDefault="00EB7A3F">
            <w:pPr>
              <w:widowControl w:val="0"/>
              <w:autoSpaceDE w:val="0"/>
              <w:autoSpaceDN w:val="0"/>
              <w:spacing w:before="222" w:after="0" w:line="240" w:lineRule="auto"/>
              <w:ind w:left="153"/>
              <w:rPr>
                <w:rFonts w:ascii="Carlito" w:eastAsia="Carlito" w:hAnsi="Carlito" w:cs="Carlito"/>
                <w:sz w:val="21"/>
              </w:rPr>
            </w:pPr>
            <w:r>
              <w:rPr>
                <w:rFonts w:ascii="Carlito" w:eastAsia="Carlito" w:hAnsi="Carlito" w:cs="Carlito"/>
                <w:color w:val="231F20"/>
                <w:w w:val="105"/>
                <w:sz w:val="21"/>
              </w:rPr>
              <w:t>8.1. Kindergarten.</w:t>
            </w:r>
          </w:p>
        </w:tc>
        <w:tc>
          <w:tcPr>
            <w:tcW w:w="716" w:type="dxa"/>
            <w:tcBorders>
              <w:left w:val="single" w:sz="2" w:space="0" w:color="231F20"/>
              <w:bottom w:val="single" w:sz="2" w:space="0" w:color="231F20"/>
            </w:tcBorders>
          </w:tcPr>
          <w:p w14:paraId="4CC906DE"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Yes</w:t>
            </w:r>
          </w:p>
        </w:tc>
        <w:tc>
          <w:tcPr>
            <w:tcW w:w="657" w:type="dxa"/>
            <w:tcBorders>
              <w:left w:val="single" w:sz="2" w:space="0" w:color="231F20"/>
              <w:bottom w:val="single" w:sz="2" w:space="0" w:color="231F20"/>
            </w:tcBorders>
          </w:tcPr>
          <w:p w14:paraId="571956FA"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No</w:t>
            </w:r>
          </w:p>
        </w:tc>
        <w:tc>
          <w:tcPr>
            <w:tcW w:w="672" w:type="dxa"/>
            <w:tcBorders>
              <w:left w:val="single" w:sz="2" w:space="0" w:color="231F20"/>
              <w:bottom w:val="single" w:sz="2" w:space="0" w:color="231F20"/>
            </w:tcBorders>
          </w:tcPr>
          <w:p w14:paraId="022A96FB"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1-5</w:t>
            </w:r>
          </w:p>
        </w:tc>
        <w:tc>
          <w:tcPr>
            <w:tcW w:w="656" w:type="dxa"/>
            <w:tcBorders>
              <w:left w:val="single" w:sz="2" w:space="0" w:color="231F20"/>
              <w:bottom w:val="single" w:sz="2" w:space="0" w:color="231F20"/>
            </w:tcBorders>
          </w:tcPr>
          <w:p w14:paraId="36EECCB6"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6-10</w:t>
            </w:r>
          </w:p>
        </w:tc>
        <w:tc>
          <w:tcPr>
            <w:tcW w:w="508" w:type="dxa"/>
            <w:tcBorders>
              <w:left w:val="single" w:sz="2" w:space="0" w:color="231F20"/>
              <w:bottom w:val="single" w:sz="2" w:space="0" w:color="231F20"/>
            </w:tcBorders>
          </w:tcPr>
          <w:p w14:paraId="02303E6F" w14:textId="77777777" w:rsidR="0099599B" w:rsidRDefault="00EB7A3F">
            <w:pPr>
              <w:widowControl w:val="0"/>
              <w:autoSpaceDE w:val="0"/>
              <w:autoSpaceDN w:val="0"/>
              <w:spacing w:after="0" w:line="240" w:lineRule="auto"/>
              <w:jc w:val="center"/>
              <w:rPr>
                <w:rFonts w:eastAsia="Carlito" w:hAnsi="Carlito" w:cs="Carlito"/>
                <w:bCs/>
                <w:sz w:val="20"/>
              </w:rPr>
            </w:pPr>
            <w:r>
              <w:rPr>
                <w:rFonts w:eastAsia="Carlito" w:hAnsi="Carlito" w:cs="Carlito"/>
                <w:bCs/>
                <w:sz w:val="20"/>
              </w:rPr>
              <w:t>10+</w:t>
            </w:r>
          </w:p>
        </w:tc>
      </w:tr>
      <w:tr w:rsidR="0099599B" w14:paraId="6C2B7258" w14:textId="77777777">
        <w:trPr>
          <w:trHeight w:val="421"/>
        </w:trPr>
        <w:tc>
          <w:tcPr>
            <w:tcW w:w="1701" w:type="dxa"/>
            <w:vMerge/>
            <w:tcBorders>
              <w:top w:val="nil"/>
              <w:right w:val="single" w:sz="2" w:space="0" w:color="231F20"/>
            </w:tcBorders>
          </w:tcPr>
          <w:p w14:paraId="69489FE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222C3984" w14:textId="77777777" w:rsidR="0099599B" w:rsidRDefault="00EB7A3F">
            <w:pPr>
              <w:widowControl w:val="0"/>
              <w:autoSpaceDE w:val="0"/>
              <w:autoSpaceDN w:val="0"/>
              <w:spacing w:before="18" w:after="0" w:line="240" w:lineRule="auto"/>
              <w:ind w:left="153"/>
              <w:rPr>
                <w:rFonts w:ascii="Carlito" w:eastAsia="Carlito" w:hAnsi="Carlito" w:cs="Carlito"/>
                <w:sz w:val="21"/>
              </w:rPr>
            </w:pPr>
            <w:r>
              <w:rPr>
                <w:rFonts w:ascii="Carlito" w:eastAsia="Carlito" w:hAnsi="Carlito" w:cs="Carlito"/>
                <w:color w:val="231F20"/>
                <w:w w:val="105"/>
                <w:sz w:val="21"/>
              </w:rPr>
              <w:t>8.2. Basic Education Primary Schools.</w:t>
            </w:r>
          </w:p>
        </w:tc>
        <w:tc>
          <w:tcPr>
            <w:tcW w:w="716" w:type="dxa"/>
            <w:tcBorders>
              <w:top w:val="single" w:sz="2" w:space="0" w:color="231F20"/>
              <w:left w:val="single" w:sz="2" w:space="0" w:color="231F20"/>
              <w:bottom w:val="single" w:sz="2" w:space="0" w:color="231F20"/>
            </w:tcBorders>
            <w:vAlign w:val="bottom"/>
          </w:tcPr>
          <w:p w14:paraId="15A73E72"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4C134573"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1A5C22CC"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5BAFB3AA"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7E8C6C8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7A6917BF" w14:textId="77777777">
        <w:trPr>
          <w:trHeight w:val="334"/>
        </w:trPr>
        <w:tc>
          <w:tcPr>
            <w:tcW w:w="1701" w:type="dxa"/>
            <w:vMerge/>
            <w:tcBorders>
              <w:top w:val="nil"/>
              <w:right w:val="single" w:sz="2" w:space="0" w:color="231F20"/>
            </w:tcBorders>
          </w:tcPr>
          <w:p w14:paraId="59CE7FF2"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620F48FE" w14:textId="77777777" w:rsidR="0099599B" w:rsidRDefault="00EB7A3F">
            <w:pPr>
              <w:widowControl w:val="0"/>
              <w:autoSpaceDE w:val="0"/>
              <w:autoSpaceDN w:val="0"/>
              <w:spacing w:before="51" w:after="0" w:line="240" w:lineRule="auto"/>
              <w:ind w:left="153"/>
              <w:rPr>
                <w:rFonts w:ascii="Carlito" w:eastAsia="Carlito" w:hAnsi="Carlito" w:cs="Carlito"/>
                <w:sz w:val="21"/>
              </w:rPr>
            </w:pPr>
            <w:r>
              <w:rPr>
                <w:rFonts w:ascii="Carlito" w:eastAsia="Carlito" w:hAnsi="Carlito" w:cs="Carlito"/>
                <w:color w:val="231F20"/>
                <w:sz w:val="21"/>
              </w:rPr>
              <w:t>8.3. Basic Junior High Schools.</w:t>
            </w:r>
          </w:p>
        </w:tc>
        <w:tc>
          <w:tcPr>
            <w:tcW w:w="716" w:type="dxa"/>
            <w:tcBorders>
              <w:top w:val="single" w:sz="2" w:space="0" w:color="231F20"/>
              <w:left w:val="single" w:sz="2" w:space="0" w:color="231F20"/>
              <w:bottom w:val="single" w:sz="2" w:space="0" w:color="231F20"/>
            </w:tcBorders>
            <w:vAlign w:val="bottom"/>
          </w:tcPr>
          <w:p w14:paraId="7F702F8E"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0DDD6163"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00EDBDC1"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3B953DBA"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676DCD47"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5B618132" w14:textId="77777777">
        <w:trPr>
          <w:trHeight w:val="363"/>
        </w:trPr>
        <w:tc>
          <w:tcPr>
            <w:tcW w:w="1701" w:type="dxa"/>
            <w:vMerge/>
            <w:tcBorders>
              <w:top w:val="nil"/>
              <w:right w:val="single" w:sz="2" w:space="0" w:color="231F20"/>
            </w:tcBorders>
          </w:tcPr>
          <w:p w14:paraId="2CC0FD5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02C49FBF" w14:textId="77777777" w:rsidR="0099599B" w:rsidRDefault="00EB7A3F">
            <w:pPr>
              <w:widowControl w:val="0"/>
              <w:autoSpaceDE w:val="0"/>
              <w:autoSpaceDN w:val="0"/>
              <w:spacing w:before="18" w:after="0" w:line="240" w:lineRule="auto"/>
              <w:ind w:left="153"/>
              <w:rPr>
                <w:rFonts w:ascii="Carlito" w:eastAsia="Carlito" w:hAnsi="Carlito" w:cs="Carlito"/>
                <w:sz w:val="21"/>
              </w:rPr>
            </w:pPr>
            <w:r>
              <w:rPr>
                <w:rFonts w:ascii="Carlito" w:eastAsia="Carlito" w:hAnsi="Carlito" w:cs="Carlito"/>
                <w:color w:val="231F20"/>
                <w:w w:val="105"/>
                <w:sz w:val="21"/>
              </w:rPr>
              <w:t>8.4. Senior High Schools.</w:t>
            </w:r>
          </w:p>
        </w:tc>
        <w:tc>
          <w:tcPr>
            <w:tcW w:w="716" w:type="dxa"/>
            <w:tcBorders>
              <w:top w:val="single" w:sz="2" w:space="0" w:color="231F20"/>
              <w:left w:val="single" w:sz="2" w:space="0" w:color="231F20"/>
              <w:bottom w:val="single" w:sz="2" w:space="0" w:color="231F20"/>
            </w:tcBorders>
            <w:vAlign w:val="bottom"/>
          </w:tcPr>
          <w:p w14:paraId="4C311663"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1234B00F"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0A52DCA2"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27E6FAA2"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6329F323"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3AD86F32" w14:textId="77777777">
        <w:trPr>
          <w:trHeight w:val="368"/>
        </w:trPr>
        <w:tc>
          <w:tcPr>
            <w:tcW w:w="1701" w:type="dxa"/>
            <w:vMerge/>
            <w:tcBorders>
              <w:top w:val="nil"/>
              <w:bottom w:val="nil"/>
              <w:right w:val="single" w:sz="2" w:space="0" w:color="231F20"/>
            </w:tcBorders>
          </w:tcPr>
          <w:p w14:paraId="46A64231"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73462245" w14:textId="77777777" w:rsidR="0099599B" w:rsidRDefault="00EB7A3F">
            <w:pPr>
              <w:widowControl w:val="0"/>
              <w:autoSpaceDE w:val="0"/>
              <w:autoSpaceDN w:val="0"/>
              <w:spacing w:before="18" w:after="0" w:line="240" w:lineRule="auto"/>
              <w:ind w:left="153"/>
              <w:rPr>
                <w:rFonts w:ascii="Carlito" w:eastAsia="Carlito" w:hAnsi="Carlito" w:cs="Carlito"/>
                <w:sz w:val="21"/>
              </w:rPr>
            </w:pPr>
            <w:r>
              <w:rPr>
                <w:rFonts w:ascii="Carlito" w:eastAsia="Carlito" w:hAnsi="Carlito" w:cs="Carlito"/>
                <w:color w:val="231F20"/>
                <w:w w:val="105"/>
                <w:sz w:val="21"/>
              </w:rPr>
              <w:t>8.6. Vocational/Technical Training Schools.</w:t>
            </w:r>
          </w:p>
        </w:tc>
        <w:tc>
          <w:tcPr>
            <w:tcW w:w="716" w:type="dxa"/>
            <w:tcBorders>
              <w:top w:val="single" w:sz="2" w:space="0" w:color="231F20"/>
              <w:left w:val="single" w:sz="2" w:space="0" w:color="231F20"/>
              <w:bottom w:val="single" w:sz="2" w:space="0" w:color="231F20"/>
            </w:tcBorders>
            <w:vAlign w:val="bottom"/>
          </w:tcPr>
          <w:p w14:paraId="649DB46A"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111F3062"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748FEC53"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2" w:space="0" w:color="231F20"/>
            </w:tcBorders>
            <w:vAlign w:val="bottom"/>
          </w:tcPr>
          <w:p w14:paraId="506A2C5B"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143470CF" w14:textId="77777777" w:rsidR="0099599B" w:rsidRDefault="0099599B">
            <w:pPr>
              <w:widowControl w:val="0"/>
              <w:autoSpaceDE w:val="0"/>
              <w:autoSpaceDN w:val="0"/>
              <w:spacing w:after="0" w:line="240" w:lineRule="auto"/>
              <w:jc w:val="center"/>
              <w:rPr>
                <w:rFonts w:eastAsia="Carlito"/>
                <w:sz w:val="28"/>
                <w:szCs w:val="28"/>
              </w:rPr>
            </w:pPr>
          </w:p>
        </w:tc>
      </w:tr>
      <w:tr w:rsidR="0099599B" w14:paraId="0EEDB055" w14:textId="77777777">
        <w:trPr>
          <w:trHeight w:val="368"/>
        </w:trPr>
        <w:tc>
          <w:tcPr>
            <w:tcW w:w="1701" w:type="dxa"/>
            <w:tcBorders>
              <w:top w:val="nil"/>
              <w:bottom w:val="nil"/>
              <w:right w:val="single" w:sz="2" w:space="0" w:color="231F20"/>
            </w:tcBorders>
          </w:tcPr>
          <w:p w14:paraId="1C2E9B45" w14:textId="77777777" w:rsidR="0099599B" w:rsidRDefault="0099599B">
            <w:pPr>
              <w:widowControl w:val="0"/>
              <w:autoSpaceDE w:val="0"/>
              <w:autoSpaceDN w:val="0"/>
              <w:spacing w:after="0" w:line="240" w:lineRule="auto"/>
              <w:rPr>
                <w:rFonts w:ascii="Carlito" w:eastAsia="Carlito" w:hAnsi="Carlito" w:cs="Carlito"/>
                <w:sz w:val="2"/>
                <w:szCs w:val="2"/>
              </w:rPr>
            </w:pPr>
          </w:p>
          <w:p w14:paraId="43077232" w14:textId="77777777" w:rsidR="0099599B" w:rsidRDefault="0099599B">
            <w:pPr>
              <w:widowControl w:val="0"/>
              <w:autoSpaceDE w:val="0"/>
              <w:autoSpaceDN w:val="0"/>
              <w:spacing w:after="0" w:line="240" w:lineRule="auto"/>
              <w:rPr>
                <w:rFonts w:ascii="Carlito" w:eastAsia="Carlito" w:hAnsi="Carlito" w:cs="Carlito"/>
                <w:sz w:val="2"/>
                <w:szCs w:val="2"/>
              </w:rPr>
            </w:pPr>
          </w:p>
          <w:p w14:paraId="0FB4B09F"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12" w:space="0" w:color="231F20"/>
              <w:right w:val="single" w:sz="2" w:space="0" w:color="231F20"/>
            </w:tcBorders>
          </w:tcPr>
          <w:p w14:paraId="21E8900A"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rFonts w:ascii="Carlito" w:eastAsia="Carlito" w:hAnsi="Carlito" w:cs="Carlito"/>
                <w:color w:val="231F20"/>
                <w:w w:val="105"/>
                <w:sz w:val="21"/>
              </w:rPr>
              <w:t>8.7. University/Colleges of Education.</w:t>
            </w:r>
          </w:p>
        </w:tc>
        <w:tc>
          <w:tcPr>
            <w:tcW w:w="716" w:type="dxa"/>
            <w:tcBorders>
              <w:top w:val="single" w:sz="2" w:space="0" w:color="231F20"/>
              <w:left w:val="single" w:sz="2" w:space="0" w:color="231F20"/>
              <w:bottom w:val="single" w:sz="12" w:space="0" w:color="231F20"/>
            </w:tcBorders>
            <w:vAlign w:val="bottom"/>
          </w:tcPr>
          <w:p w14:paraId="71EAA60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12" w:space="0" w:color="231F20"/>
            </w:tcBorders>
            <w:vAlign w:val="bottom"/>
          </w:tcPr>
          <w:p w14:paraId="51F01E94"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12" w:space="0" w:color="231F20"/>
            </w:tcBorders>
            <w:vAlign w:val="bottom"/>
          </w:tcPr>
          <w:p w14:paraId="03D1EAE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12" w:space="0" w:color="231F20"/>
            </w:tcBorders>
            <w:vAlign w:val="bottom"/>
          </w:tcPr>
          <w:p w14:paraId="272DA9A3"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12" w:space="0" w:color="231F20"/>
            </w:tcBorders>
            <w:vAlign w:val="bottom"/>
          </w:tcPr>
          <w:p w14:paraId="1DD1A683" w14:textId="77777777" w:rsidR="0099599B" w:rsidRDefault="0099599B">
            <w:pPr>
              <w:widowControl w:val="0"/>
              <w:autoSpaceDE w:val="0"/>
              <w:autoSpaceDN w:val="0"/>
              <w:spacing w:after="0" w:line="240" w:lineRule="auto"/>
              <w:jc w:val="center"/>
              <w:rPr>
                <w:rFonts w:eastAsia="Carlito"/>
                <w:sz w:val="28"/>
                <w:szCs w:val="28"/>
              </w:rPr>
            </w:pPr>
          </w:p>
        </w:tc>
      </w:tr>
      <w:tr w:rsidR="0099599B" w14:paraId="4DC2F0E9" w14:textId="77777777">
        <w:trPr>
          <w:trHeight w:val="368"/>
        </w:trPr>
        <w:tc>
          <w:tcPr>
            <w:tcW w:w="1701" w:type="dxa"/>
            <w:vMerge w:val="restart"/>
            <w:tcBorders>
              <w:bottom w:val="nil"/>
              <w:right w:val="single" w:sz="2" w:space="0" w:color="231F20"/>
            </w:tcBorders>
          </w:tcPr>
          <w:p w14:paraId="4F925DF5"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9. Public</w:t>
            </w:r>
          </w:p>
          <w:p w14:paraId="3D2B58DF"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recreational</w:t>
            </w:r>
          </w:p>
          <w:p w14:paraId="42FD26D2"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and Cultural</w:t>
            </w:r>
          </w:p>
          <w:p w14:paraId="04C72EE5"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Facilities</w:t>
            </w:r>
          </w:p>
        </w:tc>
        <w:tc>
          <w:tcPr>
            <w:tcW w:w="4382" w:type="dxa"/>
            <w:tcBorders>
              <w:top w:val="single" w:sz="12" w:space="0" w:color="231F20"/>
              <w:left w:val="single" w:sz="2" w:space="0" w:color="231F20"/>
              <w:bottom w:val="single" w:sz="2" w:space="0" w:color="231F20"/>
              <w:right w:val="single" w:sz="2" w:space="0" w:color="231F20"/>
            </w:tcBorders>
          </w:tcPr>
          <w:p w14:paraId="685EAA2E"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rFonts w:ascii="Carlito" w:eastAsia="Carlito" w:hAnsi="Carlito" w:cs="Carlito"/>
                <w:color w:val="231F20"/>
                <w:w w:val="105"/>
                <w:sz w:val="21"/>
              </w:rPr>
              <w:t>91. Cultural Centre.</w:t>
            </w:r>
          </w:p>
        </w:tc>
        <w:tc>
          <w:tcPr>
            <w:tcW w:w="716" w:type="dxa"/>
            <w:tcBorders>
              <w:top w:val="single" w:sz="12" w:space="0" w:color="231F20"/>
              <w:left w:val="single" w:sz="2" w:space="0" w:color="231F20"/>
              <w:bottom w:val="single" w:sz="2" w:space="0" w:color="231F20"/>
            </w:tcBorders>
            <w:vAlign w:val="bottom"/>
          </w:tcPr>
          <w:p w14:paraId="12B3A03F"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12" w:space="0" w:color="231F20"/>
              <w:left w:val="single" w:sz="2" w:space="0" w:color="231F20"/>
              <w:bottom w:val="single" w:sz="2" w:space="0" w:color="231F20"/>
            </w:tcBorders>
            <w:vAlign w:val="bottom"/>
          </w:tcPr>
          <w:p w14:paraId="10175C31"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12" w:space="0" w:color="231F20"/>
              <w:left w:val="single" w:sz="2" w:space="0" w:color="231F20"/>
              <w:bottom w:val="single" w:sz="2" w:space="0" w:color="231F20"/>
            </w:tcBorders>
            <w:vAlign w:val="bottom"/>
          </w:tcPr>
          <w:p w14:paraId="6B388C54"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12" w:space="0" w:color="231F20"/>
              <w:left w:val="single" w:sz="2" w:space="0" w:color="231F20"/>
              <w:bottom w:val="single" w:sz="2" w:space="0" w:color="231F20"/>
            </w:tcBorders>
            <w:vAlign w:val="bottom"/>
          </w:tcPr>
          <w:p w14:paraId="736C6C1F"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12" w:space="0" w:color="231F20"/>
              <w:left w:val="single" w:sz="2" w:space="0" w:color="231F20"/>
              <w:bottom w:val="single" w:sz="2" w:space="0" w:color="231F20"/>
            </w:tcBorders>
            <w:vAlign w:val="bottom"/>
          </w:tcPr>
          <w:p w14:paraId="217CD9F9" w14:textId="77777777" w:rsidR="0099599B" w:rsidRDefault="0099599B">
            <w:pPr>
              <w:widowControl w:val="0"/>
              <w:autoSpaceDE w:val="0"/>
              <w:autoSpaceDN w:val="0"/>
              <w:spacing w:after="0" w:line="240" w:lineRule="auto"/>
              <w:jc w:val="center"/>
              <w:rPr>
                <w:rFonts w:eastAsia="Carlito"/>
                <w:sz w:val="28"/>
                <w:szCs w:val="28"/>
              </w:rPr>
            </w:pPr>
          </w:p>
        </w:tc>
      </w:tr>
      <w:tr w:rsidR="0099599B" w14:paraId="0CD51A0B" w14:textId="77777777">
        <w:trPr>
          <w:trHeight w:val="368"/>
        </w:trPr>
        <w:tc>
          <w:tcPr>
            <w:tcW w:w="1701" w:type="dxa"/>
            <w:vMerge/>
            <w:tcBorders>
              <w:top w:val="nil"/>
              <w:bottom w:val="nil"/>
              <w:right w:val="single" w:sz="2" w:space="0" w:color="231F20"/>
            </w:tcBorders>
          </w:tcPr>
          <w:p w14:paraId="4AA0F11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1B4EB08A"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color w:val="231F20"/>
                <w:w w:val="105"/>
                <w:sz w:val="21"/>
              </w:rPr>
              <w:t>9.2. Museum.</w:t>
            </w:r>
          </w:p>
        </w:tc>
        <w:tc>
          <w:tcPr>
            <w:tcW w:w="716" w:type="dxa"/>
            <w:tcBorders>
              <w:top w:val="single" w:sz="2" w:space="0" w:color="231F20"/>
              <w:left w:val="single" w:sz="2" w:space="0" w:color="231F20"/>
              <w:bottom w:val="single" w:sz="2" w:space="0" w:color="231F20"/>
            </w:tcBorders>
            <w:vAlign w:val="bottom"/>
          </w:tcPr>
          <w:p w14:paraId="34D77128"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481CC8E6"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1353F055"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2" w:space="0" w:color="231F20"/>
            </w:tcBorders>
            <w:vAlign w:val="bottom"/>
          </w:tcPr>
          <w:p w14:paraId="16379904"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6DF5E167" w14:textId="77777777" w:rsidR="0099599B" w:rsidRDefault="0099599B">
            <w:pPr>
              <w:widowControl w:val="0"/>
              <w:autoSpaceDE w:val="0"/>
              <w:autoSpaceDN w:val="0"/>
              <w:spacing w:after="0" w:line="240" w:lineRule="auto"/>
              <w:jc w:val="center"/>
              <w:rPr>
                <w:rFonts w:eastAsia="Carlito"/>
                <w:sz w:val="28"/>
                <w:szCs w:val="28"/>
              </w:rPr>
            </w:pPr>
          </w:p>
        </w:tc>
      </w:tr>
      <w:tr w:rsidR="0099599B" w14:paraId="531A0B7B" w14:textId="77777777">
        <w:trPr>
          <w:trHeight w:val="368"/>
        </w:trPr>
        <w:tc>
          <w:tcPr>
            <w:tcW w:w="1701" w:type="dxa"/>
            <w:vMerge/>
            <w:tcBorders>
              <w:top w:val="nil"/>
              <w:bottom w:val="nil"/>
              <w:right w:val="single" w:sz="2" w:space="0" w:color="231F20"/>
            </w:tcBorders>
          </w:tcPr>
          <w:p w14:paraId="6654C194"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12" w:space="0" w:color="231F20"/>
              <w:right w:val="single" w:sz="2" w:space="0" w:color="231F20"/>
            </w:tcBorders>
          </w:tcPr>
          <w:p w14:paraId="5C9343B3" w14:textId="77777777" w:rsidR="0099599B" w:rsidRDefault="00EB7A3F">
            <w:pPr>
              <w:widowControl w:val="0"/>
              <w:autoSpaceDE w:val="0"/>
              <w:autoSpaceDN w:val="0"/>
              <w:spacing w:before="18" w:after="0" w:line="240" w:lineRule="auto"/>
              <w:ind w:left="153"/>
              <w:rPr>
                <w:rFonts w:ascii="Carlito" w:eastAsia="Carlito" w:hAnsi="Carlito" w:cs="Carlito"/>
                <w:color w:val="231F20"/>
                <w:w w:val="105"/>
                <w:sz w:val="21"/>
              </w:rPr>
            </w:pPr>
            <w:r>
              <w:rPr>
                <w:rFonts w:ascii="Carlito" w:eastAsia="Carlito" w:hAnsi="Carlito" w:cs="Carlito"/>
                <w:color w:val="231F20"/>
                <w:w w:val="105"/>
                <w:sz w:val="21"/>
              </w:rPr>
              <w:t>9.3. Library.</w:t>
            </w:r>
          </w:p>
        </w:tc>
        <w:tc>
          <w:tcPr>
            <w:tcW w:w="716" w:type="dxa"/>
            <w:tcBorders>
              <w:top w:val="single" w:sz="2" w:space="0" w:color="231F20"/>
              <w:left w:val="single" w:sz="2" w:space="0" w:color="231F20"/>
              <w:bottom w:val="single" w:sz="12" w:space="0" w:color="231F20"/>
            </w:tcBorders>
            <w:vAlign w:val="bottom"/>
          </w:tcPr>
          <w:p w14:paraId="18990A5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12" w:space="0" w:color="231F20"/>
            </w:tcBorders>
            <w:vAlign w:val="bottom"/>
          </w:tcPr>
          <w:p w14:paraId="422D6233"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12" w:space="0" w:color="231F20"/>
            </w:tcBorders>
            <w:vAlign w:val="bottom"/>
          </w:tcPr>
          <w:p w14:paraId="621D0EC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12" w:space="0" w:color="231F20"/>
            </w:tcBorders>
            <w:vAlign w:val="bottom"/>
          </w:tcPr>
          <w:p w14:paraId="0FCCB061"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12" w:space="0" w:color="231F20"/>
            </w:tcBorders>
            <w:vAlign w:val="bottom"/>
          </w:tcPr>
          <w:p w14:paraId="3A9722AD" w14:textId="77777777" w:rsidR="0099599B" w:rsidRDefault="0099599B">
            <w:pPr>
              <w:widowControl w:val="0"/>
              <w:autoSpaceDE w:val="0"/>
              <w:autoSpaceDN w:val="0"/>
              <w:spacing w:after="0" w:line="240" w:lineRule="auto"/>
              <w:jc w:val="center"/>
              <w:rPr>
                <w:rFonts w:eastAsia="Carlito"/>
                <w:sz w:val="28"/>
                <w:szCs w:val="28"/>
              </w:rPr>
            </w:pPr>
          </w:p>
        </w:tc>
      </w:tr>
      <w:tr w:rsidR="0099599B" w14:paraId="221E5E5D" w14:textId="77777777">
        <w:trPr>
          <w:trHeight w:val="368"/>
        </w:trPr>
        <w:tc>
          <w:tcPr>
            <w:tcW w:w="1701" w:type="dxa"/>
            <w:vMerge w:val="restart"/>
            <w:tcBorders>
              <w:right w:val="single" w:sz="2" w:space="0" w:color="231F20"/>
            </w:tcBorders>
          </w:tcPr>
          <w:p w14:paraId="29375636" w14:textId="77777777" w:rsidR="0099599B" w:rsidRDefault="0099599B">
            <w:pPr>
              <w:widowControl w:val="0"/>
              <w:autoSpaceDE w:val="0"/>
              <w:autoSpaceDN w:val="0"/>
              <w:spacing w:after="0" w:line="240" w:lineRule="auto"/>
              <w:rPr>
                <w:rFonts w:ascii="Carlito" w:eastAsia="Carlito" w:hAnsi="Carlito" w:cs="Carlito"/>
                <w:b/>
                <w:color w:val="231F20"/>
                <w:w w:val="105"/>
                <w:sz w:val="21"/>
              </w:rPr>
            </w:pPr>
          </w:p>
          <w:p w14:paraId="4AF31801" w14:textId="77777777" w:rsidR="0099599B" w:rsidRDefault="0099599B">
            <w:pPr>
              <w:widowControl w:val="0"/>
              <w:autoSpaceDE w:val="0"/>
              <w:autoSpaceDN w:val="0"/>
              <w:spacing w:after="0" w:line="240" w:lineRule="auto"/>
              <w:rPr>
                <w:rFonts w:ascii="Carlito" w:eastAsia="Carlito" w:hAnsi="Carlito" w:cs="Carlito"/>
                <w:b/>
                <w:color w:val="231F20"/>
                <w:w w:val="105"/>
                <w:sz w:val="21"/>
              </w:rPr>
            </w:pPr>
          </w:p>
          <w:p w14:paraId="6AECB5A7"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10. Security Services</w:t>
            </w:r>
          </w:p>
        </w:tc>
        <w:tc>
          <w:tcPr>
            <w:tcW w:w="4382" w:type="dxa"/>
            <w:tcBorders>
              <w:top w:val="single" w:sz="12" w:space="0" w:color="231F20"/>
              <w:left w:val="single" w:sz="2" w:space="0" w:color="231F20"/>
              <w:bottom w:val="single" w:sz="2" w:space="0" w:color="231F20"/>
              <w:right w:val="single" w:sz="2" w:space="0" w:color="231F20"/>
            </w:tcBorders>
          </w:tcPr>
          <w:p w14:paraId="1601B8F6" w14:textId="77777777" w:rsidR="0099599B" w:rsidRDefault="00EB7A3F">
            <w:pPr>
              <w:widowControl w:val="0"/>
              <w:autoSpaceDE w:val="0"/>
              <w:autoSpaceDN w:val="0"/>
              <w:spacing w:before="125" w:after="0" w:line="240" w:lineRule="auto"/>
              <w:rPr>
                <w:rFonts w:ascii="Carlito" w:eastAsia="Carlito" w:hAnsi="Carlito" w:cs="Carlito"/>
                <w:sz w:val="21"/>
              </w:rPr>
            </w:pPr>
            <w:r>
              <w:rPr>
                <w:rFonts w:ascii="Carlito" w:eastAsia="Carlito" w:hAnsi="Carlito" w:cs="Carlito"/>
                <w:color w:val="231F20"/>
                <w:w w:val="105"/>
                <w:sz w:val="21"/>
              </w:rPr>
              <w:t>10.1. Disaster</w:t>
            </w:r>
            <w:r>
              <w:rPr>
                <w:rFonts w:ascii="Carlito" w:eastAsia="Carlito" w:hAnsi="Carlito" w:cs="Carlito"/>
                <w:color w:val="231F20"/>
                <w:spacing w:val="-9"/>
                <w:w w:val="105"/>
                <w:sz w:val="21"/>
              </w:rPr>
              <w:t xml:space="preserve"> </w:t>
            </w:r>
            <w:r>
              <w:rPr>
                <w:rFonts w:ascii="Carlito" w:eastAsia="Carlito" w:hAnsi="Carlito" w:cs="Carlito"/>
                <w:color w:val="231F20"/>
                <w:w w:val="105"/>
                <w:sz w:val="21"/>
              </w:rPr>
              <w:t>management</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organisation</w:t>
            </w:r>
            <w:r>
              <w:rPr>
                <w:rFonts w:ascii="Carlito" w:eastAsia="Carlito" w:hAnsi="Carlito" w:cs="Carlito"/>
                <w:color w:val="231F20"/>
                <w:w w:val="105"/>
                <w:sz w:val="21"/>
              </w:rPr>
              <w:tab/>
              <w:t>.</w:t>
            </w:r>
          </w:p>
        </w:tc>
        <w:tc>
          <w:tcPr>
            <w:tcW w:w="716" w:type="dxa"/>
            <w:tcBorders>
              <w:top w:val="single" w:sz="12" w:space="0" w:color="231F20"/>
              <w:left w:val="single" w:sz="2" w:space="0" w:color="231F20"/>
              <w:bottom w:val="single" w:sz="2" w:space="0" w:color="231F20"/>
            </w:tcBorders>
            <w:vAlign w:val="bottom"/>
          </w:tcPr>
          <w:p w14:paraId="5B21816B"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12" w:space="0" w:color="231F20"/>
              <w:left w:val="single" w:sz="2" w:space="0" w:color="231F20"/>
              <w:bottom w:val="single" w:sz="2" w:space="0" w:color="231F20"/>
            </w:tcBorders>
            <w:vAlign w:val="bottom"/>
          </w:tcPr>
          <w:p w14:paraId="2F6ECDB9"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12" w:space="0" w:color="231F20"/>
              <w:left w:val="single" w:sz="2" w:space="0" w:color="231F20"/>
              <w:bottom w:val="single" w:sz="2" w:space="0" w:color="231F20"/>
            </w:tcBorders>
            <w:vAlign w:val="bottom"/>
          </w:tcPr>
          <w:p w14:paraId="48D7029B"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12" w:space="0" w:color="231F20"/>
              <w:left w:val="single" w:sz="2" w:space="0" w:color="231F20"/>
              <w:bottom w:val="single" w:sz="2" w:space="0" w:color="231F20"/>
            </w:tcBorders>
            <w:vAlign w:val="bottom"/>
          </w:tcPr>
          <w:p w14:paraId="7B8BCA53"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12" w:space="0" w:color="231F20"/>
              <w:left w:val="single" w:sz="2" w:space="0" w:color="231F20"/>
              <w:bottom w:val="single" w:sz="2" w:space="0" w:color="231F20"/>
            </w:tcBorders>
            <w:vAlign w:val="bottom"/>
          </w:tcPr>
          <w:p w14:paraId="3CDDC013" w14:textId="77777777" w:rsidR="0099599B" w:rsidRDefault="0099599B">
            <w:pPr>
              <w:widowControl w:val="0"/>
              <w:autoSpaceDE w:val="0"/>
              <w:autoSpaceDN w:val="0"/>
              <w:spacing w:after="0" w:line="240" w:lineRule="auto"/>
              <w:jc w:val="center"/>
              <w:rPr>
                <w:rFonts w:eastAsia="Carlito"/>
                <w:sz w:val="28"/>
                <w:szCs w:val="28"/>
              </w:rPr>
            </w:pPr>
          </w:p>
        </w:tc>
      </w:tr>
      <w:tr w:rsidR="0099599B" w14:paraId="0A3D5B31" w14:textId="77777777">
        <w:trPr>
          <w:trHeight w:val="368"/>
        </w:trPr>
        <w:tc>
          <w:tcPr>
            <w:tcW w:w="1701" w:type="dxa"/>
            <w:vMerge/>
            <w:tcBorders>
              <w:right w:val="single" w:sz="2" w:space="0" w:color="231F20"/>
            </w:tcBorders>
          </w:tcPr>
          <w:p w14:paraId="0216D7E0"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416467CB" w14:textId="77777777" w:rsidR="0099599B" w:rsidRDefault="00EB7A3F">
            <w:pPr>
              <w:widowControl w:val="0"/>
              <w:autoSpaceDE w:val="0"/>
              <w:autoSpaceDN w:val="0"/>
              <w:spacing w:before="166" w:after="0" w:line="240" w:lineRule="auto"/>
              <w:ind w:right="46"/>
              <w:rPr>
                <w:rFonts w:ascii="Carlito" w:eastAsia="Carlito" w:hAnsi="Carlito" w:cs="Carlito"/>
                <w:sz w:val="21"/>
              </w:rPr>
            </w:pPr>
            <w:r>
              <w:rPr>
                <w:rFonts w:ascii="Carlito" w:eastAsia="Carlito" w:hAnsi="Carlito" w:cs="Carlito"/>
                <w:color w:val="231F20"/>
                <w:w w:val="105"/>
                <w:sz w:val="21"/>
              </w:rPr>
              <w:t>10.2. Police</w:t>
            </w:r>
            <w:r>
              <w:rPr>
                <w:rFonts w:ascii="Carlito" w:eastAsia="Carlito" w:hAnsi="Carlito" w:cs="Carlito"/>
                <w:color w:val="231F20"/>
                <w:spacing w:val="-6"/>
                <w:w w:val="105"/>
                <w:sz w:val="21"/>
              </w:rPr>
              <w:t xml:space="preserve"> </w:t>
            </w:r>
            <w:r>
              <w:rPr>
                <w:rFonts w:ascii="Carlito" w:eastAsia="Carlito" w:hAnsi="Carlito" w:cs="Carlito"/>
                <w:color w:val="231F20"/>
                <w:w w:val="105"/>
                <w:sz w:val="21"/>
              </w:rPr>
              <w:t>Check</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Point</w:t>
            </w:r>
            <w:r>
              <w:rPr>
                <w:rFonts w:ascii="Carlito" w:eastAsia="Carlito" w:hAnsi="Carlito" w:cs="Carlito"/>
                <w:color w:val="231F20"/>
                <w:w w:val="105"/>
                <w:sz w:val="21"/>
              </w:rPr>
              <w:tab/>
              <w:t>.</w:t>
            </w:r>
          </w:p>
        </w:tc>
        <w:tc>
          <w:tcPr>
            <w:tcW w:w="716" w:type="dxa"/>
            <w:tcBorders>
              <w:top w:val="single" w:sz="2" w:space="0" w:color="231F20"/>
              <w:left w:val="single" w:sz="2" w:space="0" w:color="231F20"/>
              <w:bottom w:val="single" w:sz="2" w:space="0" w:color="231F20"/>
            </w:tcBorders>
            <w:vAlign w:val="bottom"/>
          </w:tcPr>
          <w:p w14:paraId="43EEB22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3735B074"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21BF18A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2" w:space="0" w:color="231F20"/>
            </w:tcBorders>
            <w:vAlign w:val="bottom"/>
          </w:tcPr>
          <w:p w14:paraId="3B216F39"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0CB4AC29" w14:textId="77777777" w:rsidR="0099599B" w:rsidRDefault="0099599B">
            <w:pPr>
              <w:widowControl w:val="0"/>
              <w:autoSpaceDE w:val="0"/>
              <w:autoSpaceDN w:val="0"/>
              <w:spacing w:after="0" w:line="240" w:lineRule="auto"/>
              <w:jc w:val="center"/>
              <w:rPr>
                <w:rFonts w:eastAsia="Carlito"/>
                <w:sz w:val="28"/>
                <w:szCs w:val="28"/>
              </w:rPr>
            </w:pPr>
          </w:p>
        </w:tc>
      </w:tr>
      <w:tr w:rsidR="0099599B" w14:paraId="1CD9ABC6" w14:textId="77777777">
        <w:trPr>
          <w:trHeight w:val="368"/>
        </w:trPr>
        <w:tc>
          <w:tcPr>
            <w:tcW w:w="1701" w:type="dxa"/>
            <w:vMerge/>
            <w:tcBorders>
              <w:right w:val="single" w:sz="2" w:space="0" w:color="231F20"/>
            </w:tcBorders>
          </w:tcPr>
          <w:p w14:paraId="6EE0266A"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282E9284"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10.3.</w:t>
            </w:r>
            <w:r>
              <w:rPr>
                <w:rFonts w:ascii="Carlito" w:eastAsia="Carlito" w:hAnsi="Carlito" w:cs="Carlito"/>
                <w:color w:val="231F20"/>
                <w:spacing w:val="-3"/>
                <w:w w:val="105"/>
                <w:sz w:val="21"/>
              </w:rPr>
              <w:t xml:space="preserve"> </w:t>
            </w:r>
            <w:r>
              <w:rPr>
                <w:rFonts w:ascii="Carlito" w:eastAsia="Carlito" w:hAnsi="Carlito" w:cs="Carlito"/>
                <w:color w:val="231F20"/>
                <w:w w:val="105"/>
                <w:sz w:val="21"/>
              </w:rPr>
              <w:t>Police</w:t>
            </w:r>
            <w:r>
              <w:rPr>
                <w:rFonts w:ascii="Carlito" w:eastAsia="Carlito" w:hAnsi="Carlito" w:cs="Carlito"/>
                <w:color w:val="231F20"/>
                <w:spacing w:val="-3"/>
                <w:w w:val="105"/>
                <w:sz w:val="21"/>
              </w:rPr>
              <w:t xml:space="preserve"> </w:t>
            </w:r>
            <w:r>
              <w:rPr>
                <w:rFonts w:ascii="Carlito" w:eastAsia="Carlito" w:hAnsi="Carlito" w:cs="Carlito"/>
                <w:color w:val="231F20"/>
                <w:w w:val="105"/>
                <w:sz w:val="21"/>
              </w:rPr>
              <w:t>Station</w:t>
            </w:r>
            <w:r>
              <w:rPr>
                <w:rFonts w:ascii="Carlito" w:eastAsia="Carlito" w:hAnsi="Carlito" w:cs="Carlito"/>
                <w:color w:val="231F20"/>
                <w:w w:val="105"/>
                <w:sz w:val="21"/>
              </w:rPr>
              <w:tab/>
              <w:t>.</w:t>
            </w:r>
          </w:p>
        </w:tc>
        <w:tc>
          <w:tcPr>
            <w:tcW w:w="716" w:type="dxa"/>
            <w:tcBorders>
              <w:top w:val="single" w:sz="2" w:space="0" w:color="231F20"/>
              <w:left w:val="single" w:sz="2" w:space="0" w:color="231F20"/>
              <w:bottom w:val="single" w:sz="2" w:space="0" w:color="231F20"/>
            </w:tcBorders>
            <w:vAlign w:val="bottom"/>
          </w:tcPr>
          <w:p w14:paraId="1DB79BE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27E4F7D6"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16049D71"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2" w:space="0" w:color="231F20"/>
            </w:tcBorders>
            <w:vAlign w:val="bottom"/>
          </w:tcPr>
          <w:p w14:paraId="4A18C394"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3313E234" w14:textId="77777777" w:rsidR="0099599B" w:rsidRDefault="0099599B">
            <w:pPr>
              <w:widowControl w:val="0"/>
              <w:autoSpaceDE w:val="0"/>
              <w:autoSpaceDN w:val="0"/>
              <w:spacing w:after="0" w:line="240" w:lineRule="auto"/>
              <w:jc w:val="center"/>
              <w:rPr>
                <w:rFonts w:eastAsia="Carlito"/>
                <w:sz w:val="28"/>
                <w:szCs w:val="28"/>
              </w:rPr>
            </w:pPr>
          </w:p>
        </w:tc>
      </w:tr>
      <w:tr w:rsidR="0099599B" w14:paraId="1A63CF13" w14:textId="77777777">
        <w:trPr>
          <w:trHeight w:val="368"/>
        </w:trPr>
        <w:tc>
          <w:tcPr>
            <w:tcW w:w="1701" w:type="dxa"/>
            <w:vMerge/>
            <w:tcBorders>
              <w:right w:val="single" w:sz="2" w:space="0" w:color="231F20"/>
            </w:tcBorders>
          </w:tcPr>
          <w:p w14:paraId="659F9E53"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4" w:space="0" w:color="auto"/>
              <w:right w:val="single" w:sz="2" w:space="0" w:color="231F20"/>
            </w:tcBorders>
          </w:tcPr>
          <w:p w14:paraId="3789B65C"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10.4.</w:t>
            </w:r>
            <w:r>
              <w:rPr>
                <w:rFonts w:ascii="Carlito" w:eastAsia="Carlito" w:hAnsi="Carlito" w:cs="Carlito"/>
                <w:color w:val="231F20"/>
                <w:spacing w:val="-3"/>
                <w:w w:val="105"/>
                <w:sz w:val="21"/>
              </w:rPr>
              <w:t xml:space="preserve"> </w:t>
            </w:r>
            <w:r>
              <w:rPr>
                <w:rFonts w:ascii="Carlito" w:eastAsia="Carlito" w:hAnsi="Carlito" w:cs="Carlito"/>
                <w:color w:val="231F20"/>
                <w:w w:val="105"/>
                <w:sz w:val="21"/>
              </w:rPr>
              <w:t>Fire</w:t>
            </w:r>
            <w:r>
              <w:rPr>
                <w:rFonts w:ascii="Carlito" w:eastAsia="Carlito" w:hAnsi="Carlito" w:cs="Carlito"/>
                <w:color w:val="231F20"/>
                <w:spacing w:val="-2"/>
                <w:w w:val="105"/>
                <w:sz w:val="21"/>
              </w:rPr>
              <w:t xml:space="preserve"> </w:t>
            </w:r>
            <w:r>
              <w:rPr>
                <w:rFonts w:ascii="Carlito" w:eastAsia="Carlito" w:hAnsi="Carlito" w:cs="Carlito"/>
                <w:color w:val="231F20"/>
                <w:w w:val="105"/>
                <w:sz w:val="21"/>
              </w:rPr>
              <w:t>Station</w:t>
            </w:r>
            <w:r>
              <w:rPr>
                <w:rFonts w:ascii="Carlito" w:eastAsia="Carlito" w:hAnsi="Carlito" w:cs="Carlito"/>
                <w:color w:val="231F20"/>
                <w:w w:val="105"/>
                <w:sz w:val="21"/>
              </w:rPr>
              <w:tab/>
              <w:t>.</w:t>
            </w:r>
          </w:p>
        </w:tc>
        <w:tc>
          <w:tcPr>
            <w:tcW w:w="716" w:type="dxa"/>
            <w:tcBorders>
              <w:top w:val="single" w:sz="2" w:space="0" w:color="231F20"/>
              <w:left w:val="single" w:sz="2" w:space="0" w:color="231F20"/>
              <w:bottom w:val="single" w:sz="4" w:space="0" w:color="auto"/>
            </w:tcBorders>
            <w:vAlign w:val="bottom"/>
          </w:tcPr>
          <w:p w14:paraId="3925C9F4"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4" w:space="0" w:color="auto"/>
            </w:tcBorders>
            <w:vAlign w:val="bottom"/>
          </w:tcPr>
          <w:p w14:paraId="79C16A02"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4" w:space="0" w:color="auto"/>
            </w:tcBorders>
            <w:vAlign w:val="bottom"/>
          </w:tcPr>
          <w:p w14:paraId="0C0CBCCD"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4" w:space="0" w:color="auto"/>
            </w:tcBorders>
            <w:vAlign w:val="bottom"/>
          </w:tcPr>
          <w:p w14:paraId="5FB3B181"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4" w:space="0" w:color="auto"/>
            </w:tcBorders>
            <w:vAlign w:val="bottom"/>
          </w:tcPr>
          <w:p w14:paraId="0BAD8213" w14:textId="77777777" w:rsidR="0099599B" w:rsidRDefault="0099599B">
            <w:pPr>
              <w:widowControl w:val="0"/>
              <w:autoSpaceDE w:val="0"/>
              <w:autoSpaceDN w:val="0"/>
              <w:spacing w:after="0" w:line="240" w:lineRule="auto"/>
              <w:jc w:val="center"/>
              <w:rPr>
                <w:rFonts w:eastAsia="Carlito"/>
                <w:sz w:val="28"/>
                <w:szCs w:val="28"/>
              </w:rPr>
            </w:pPr>
          </w:p>
        </w:tc>
      </w:tr>
      <w:tr w:rsidR="0099599B" w14:paraId="69DFC641" w14:textId="77777777">
        <w:trPr>
          <w:trHeight w:val="368"/>
        </w:trPr>
        <w:tc>
          <w:tcPr>
            <w:tcW w:w="1701" w:type="dxa"/>
            <w:vMerge/>
            <w:tcBorders>
              <w:right w:val="single" w:sz="2" w:space="0" w:color="231F20"/>
            </w:tcBorders>
          </w:tcPr>
          <w:p w14:paraId="020BB9EA"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4" w:space="0" w:color="auto"/>
              <w:left w:val="single" w:sz="2" w:space="0" w:color="231F20"/>
              <w:bottom w:val="single" w:sz="12" w:space="0" w:color="231F20"/>
              <w:right w:val="nil"/>
            </w:tcBorders>
          </w:tcPr>
          <w:p w14:paraId="16E7E75B"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10.5 Disaster evacuation point</w:t>
            </w:r>
          </w:p>
        </w:tc>
        <w:tc>
          <w:tcPr>
            <w:tcW w:w="716" w:type="dxa"/>
            <w:tcBorders>
              <w:top w:val="single" w:sz="4" w:space="0" w:color="auto"/>
              <w:left w:val="single" w:sz="2" w:space="0" w:color="231F20"/>
              <w:bottom w:val="single" w:sz="12" w:space="0" w:color="231F20"/>
            </w:tcBorders>
            <w:vAlign w:val="bottom"/>
          </w:tcPr>
          <w:p w14:paraId="59A33B04"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4" w:space="0" w:color="auto"/>
              <w:left w:val="single" w:sz="2" w:space="0" w:color="231F20"/>
              <w:bottom w:val="single" w:sz="12" w:space="0" w:color="231F20"/>
            </w:tcBorders>
            <w:vAlign w:val="bottom"/>
          </w:tcPr>
          <w:p w14:paraId="661BF8B2"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4" w:space="0" w:color="auto"/>
              <w:left w:val="single" w:sz="2" w:space="0" w:color="231F20"/>
              <w:bottom w:val="single" w:sz="12" w:space="0" w:color="231F20"/>
            </w:tcBorders>
            <w:vAlign w:val="bottom"/>
          </w:tcPr>
          <w:p w14:paraId="5A20A240"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4" w:space="0" w:color="auto"/>
              <w:left w:val="single" w:sz="2" w:space="0" w:color="231F20"/>
              <w:bottom w:val="single" w:sz="12" w:space="0" w:color="231F20"/>
            </w:tcBorders>
            <w:vAlign w:val="bottom"/>
          </w:tcPr>
          <w:p w14:paraId="30FD4612"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4" w:space="0" w:color="auto"/>
              <w:left w:val="single" w:sz="2" w:space="0" w:color="231F20"/>
              <w:bottom w:val="single" w:sz="12" w:space="0" w:color="231F20"/>
            </w:tcBorders>
            <w:vAlign w:val="bottom"/>
          </w:tcPr>
          <w:p w14:paraId="7F75EBB0" w14:textId="77777777" w:rsidR="0099599B" w:rsidRDefault="0099599B">
            <w:pPr>
              <w:widowControl w:val="0"/>
              <w:autoSpaceDE w:val="0"/>
              <w:autoSpaceDN w:val="0"/>
              <w:spacing w:after="0" w:line="240" w:lineRule="auto"/>
              <w:jc w:val="center"/>
              <w:rPr>
                <w:rFonts w:eastAsia="Carlito"/>
                <w:sz w:val="28"/>
                <w:szCs w:val="28"/>
              </w:rPr>
            </w:pPr>
          </w:p>
        </w:tc>
      </w:tr>
      <w:tr w:rsidR="0099599B" w14:paraId="3D24FAB5" w14:textId="77777777">
        <w:trPr>
          <w:trHeight w:val="368"/>
        </w:trPr>
        <w:tc>
          <w:tcPr>
            <w:tcW w:w="1701" w:type="dxa"/>
            <w:vMerge w:val="restart"/>
            <w:tcBorders>
              <w:right w:val="single" w:sz="2" w:space="0" w:color="231F20"/>
            </w:tcBorders>
          </w:tcPr>
          <w:p w14:paraId="48C5AD9D" w14:textId="77777777" w:rsidR="0099599B" w:rsidRDefault="00EB7A3F">
            <w:pPr>
              <w:widowControl w:val="0"/>
              <w:autoSpaceDE w:val="0"/>
              <w:autoSpaceDN w:val="0"/>
              <w:spacing w:after="0" w:line="240" w:lineRule="auto"/>
              <w:rPr>
                <w:rFonts w:ascii="Carlito" w:eastAsia="Carlito" w:hAnsi="Carlito" w:cs="Carlito"/>
                <w:sz w:val="2"/>
                <w:szCs w:val="2"/>
              </w:rPr>
            </w:pPr>
            <w:r>
              <w:rPr>
                <w:rFonts w:ascii="Carlito" w:eastAsia="Carlito" w:hAnsi="Carlito" w:cs="Carlito"/>
                <w:b/>
                <w:color w:val="231F20"/>
                <w:w w:val="105"/>
                <w:sz w:val="21"/>
              </w:rPr>
              <w:t>11. Community Organizations and NGOs</w:t>
            </w:r>
            <w:r>
              <w:rPr>
                <w:rFonts w:ascii="Carlito" w:eastAsia="Carlito" w:hAnsi="Carlito" w:cs="Carlito"/>
                <w:sz w:val="2"/>
                <w:szCs w:val="2"/>
              </w:rPr>
              <w:t xml:space="preserve"> </w:t>
            </w:r>
          </w:p>
        </w:tc>
        <w:tc>
          <w:tcPr>
            <w:tcW w:w="4382" w:type="dxa"/>
            <w:tcBorders>
              <w:top w:val="single" w:sz="12" w:space="0" w:color="231F20"/>
              <w:left w:val="single" w:sz="2" w:space="0" w:color="231F20"/>
              <w:bottom w:val="single" w:sz="2" w:space="0" w:color="231F20"/>
              <w:right w:val="single" w:sz="2" w:space="0" w:color="231F20"/>
            </w:tcBorders>
          </w:tcPr>
          <w:p w14:paraId="62A23F7E"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11.1.</w:t>
            </w:r>
            <w:r>
              <w:rPr>
                <w:rFonts w:ascii="Carlito" w:eastAsia="Carlito" w:hAnsi="Carlito" w:cs="Carlito"/>
                <w:color w:val="231F20"/>
                <w:spacing w:val="-10"/>
                <w:w w:val="105"/>
                <w:sz w:val="21"/>
              </w:rPr>
              <w:t xml:space="preserve"> </w:t>
            </w:r>
            <w:r>
              <w:rPr>
                <w:rFonts w:ascii="Carlito" w:eastAsia="Carlito" w:hAnsi="Carlito" w:cs="Carlito"/>
                <w:color w:val="231F20"/>
                <w:w w:val="105"/>
                <w:sz w:val="21"/>
              </w:rPr>
              <w:t>Churches/Mosques</w:t>
            </w:r>
            <w:r>
              <w:rPr>
                <w:rFonts w:ascii="Carlito" w:eastAsia="Carlito" w:hAnsi="Carlito" w:cs="Carlito"/>
                <w:color w:val="231F20"/>
                <w:w w:val="105"/>
                <w:sz w:val="21"/>
              </w:rPr>
              <w:tab/>
            </w:r>
          </w:p>
        </w:tc>
        <w:tc>
          <w:tcPr>
            <w:tcW w:w="716" w:type="dxa"/>
            <w:tcBorders>
              <w:top w:val="single" w:sz="12" w:space="0" w:color="231F20"/>
              <w:left w:val="single" w:sz="2" w:space="0" w:color="231F20"/>
              <w:bottom w:val="single" w:sz="2" w:space="0" w:color="231F20"/>
            </w:tcBorders>
            <w:vAlign w:val="bottom"/>
          </w:tcPr>
          <w:p w14:paraId="056AAE5A"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12" w:space="0" w:color="231F20"/>
              <w:left w:val="single" w:sz="2" w:space="0" w:color="231F20"/>
              <w:bottom w:val="single" w:sz="2" w:space="0" w:color="231F20"/>
            </w:tcBorders>
            <w:vAlign w:val="bottom"/>
          </w:tcPr>
          <w:p w14:paraId="68AF638C"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12" w:space="0" w:color="231F20"/>
              <w:left w:val="single" w:sz="2" w:space="0" w:color="231F20"/>
              <w:bottom w:val="single" w:sz="2" w:space="0" w:color="231F20"/>
            </w:tcBorders>
            <w:vAlign w:val="bottom"/>
          </w:tcPr>
          <w:p w14:paraId="2B8ADC2F"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12" w:space="0" w:color="231F20"/>
              <w:left w:val="single" w:sz="2" w:space="0" w:color="231F20"/>
              <w:bottom w:val="single" w:sz="2" w:space="0" w:color="231F20"/>
            </w:tcBorders>
            <w:vAlign w:val="bottom"/>
          </w:tcPr>
          <w:p w14:paraId="092DC740"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12" w:space="0" w:color="231F20"/>
              <w:left w:val="single" w:sz="2" w:space="0" w:color="231F20"/>
              <w:bottom w:val="single" w:sz="2" w:space="0" w:color="231F20"/>
            </w:tcBorders>
            <w:vAlign w:val="bottom"/>
          </w:tcPr>
          <w:p w14:paraId="3C41A35D"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2DCC3F06" w14:textId="77777777">
        <w:trPr>
          <w:trHeight w:val="368"/>
        </w:trPr>
        <w:tc>
          <w:tcPr>
            <w:tcW w:w="1701" w:type="dxa"/>
            <w:vMerge/>
            <w:tcBorders>
              <w:right w:val="single" w:sz="2" w:space="0" w:color="231F20"/>
            </w:tcBorders>
          </w:tcPr>
          <w:p w14:paraId="4EB2B603"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38FD7D23"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11.2. Civil</w:t>
            </w:r>
            <w:r>
              <w:rPr>
                <w:rFonts w:ascii="Carlito" w:eastAsia="Carlito" w:hAnsi="Carlito" w:cs="Carlito"/>
                <w:color w:val="231F20"/>
                <w:spacing w:val="-11"/>
                <w:w w:val="105"/>
                <w:sz w:val="21"/>
              </w:rPr>
              <w:t xml:space="preserve"> </w:t>
            </w:r>
            <w:r>
              <w:rPr>
                <w:rFonts w:ascii="Carlito" w:eastAsia="Carlito" w:hAnsi="Carlito" w:cs="Carlito"/>
                <w:color w:val="231F20"/>
                <w:w w:val="105"/>
                <w:sz w:val="21"/>
              </w:rPr>
              <w:t>Society</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Organisation</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6FB67EB4"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4727BB2C"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5A446385"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0CAACBAC"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08" w:type="dxa"/>
            <w:tcBorders>
              <w:top w:val="single" w:sz="2" w:space="0" w:color="231F20"/>
              <w:left w:val="single" w:sz="2" w:space="0" w:color="231F20"/>
              <w:bottom w:val="single" w:sz="2" w:space="0" w:color="231F20"/>
            </w:tcBorders>
            <w:vAlign w:val="bottom"/>
          </w:tcPr>
          <w:p w14:paraId="0F543D9C" w14:textId="77777777" w:rsidR="0099599B" w:rsidRDefault="0099599B">
            <w:pPr>
              <w:widowControl w:val="0"/>
              <w:autoSpaceDE w:val="0"/>
              <w:autoSpaceDN w:val="0"/>
              <w:spacing w:after="0" w:line="240" w:lineRule="auto"/>
              <w:jc w:val="center"/>
              <w:rPr>
                <w:rFonts w:eastAsia="Carlito"/>
                <w:sz w:val="28"/>
                <w:szCs w:val="28"/>
              </w:rPr>
            </w:pPr>
          </w:p>
        </w:tc>
      </w:tr>
      <w:tr w:rsidR="0099599B" w14:paraId="4C5DBA45" w14:textId="77777777">
        <w:trPr>
          <w:trHeight w:val="368"/>
        </w:trPr>
        <w:tc>
          <w:tcPr>
            <w:tcW w:w="1701" w:type="dxa"/>
            <w:vMerge/>
            <w:tcBorders>
              <w:right w:val="single" w:sz="2" w:space="0" w:color="231F20"/>
            </w:tcBorders>
          </w:tcPr>
          <w:p w14:paraId="0F9A893F"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368FF4FA"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11.3.</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Cooperative</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Union</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4BB5F26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1E218CF3"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082901D9"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2838A4D2"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508" w:type="dxa"/>
            <w:tcBorders>
              <w:top w:val="single" w:sz="2" w:space="0" w:color="231F20"/>
              <w:left w:val="single" w:sz="2" w:space="0" w:color="231F20"/>
              <w:bottom w:val="single" w:sz="2" w:space="0" w:color="231F20"/>
            </w:tcBorders>
            <w:vAlign w:val="bottom"/>
          </w:tcPr>
          <w:p w14:paraId="2017CE9A" w14:textId="77777777" w:rsidR="0099599B" w:rsidRDefault="0099599B">
            <w:pPr>
              <w:widowControl w:val="0"/>
              <w:autoSpaceDE w:val="0"/>
              <w:autoSpaceDN w:val="0"/>
              <w:spacing w:after="0" w:line="240" w:lineRule="auto"/>
              <w:jc w:val="center"/>
              <w:rPr>
                <w:rFonts w:eastAsia="Carlito"/>
                <w:sz w:val="28"/>
                <w:szCs w:val="28"/>
              </w:rPr>
            </w:pPr>
          </w:p>
        </w:tc>
      </w:tr>
      <w:tr w:rsidR="0099599B" w14:paraId="63FF7D82" w14:textId="77777777">
        <w:trPr>
          <w:trHeight w:val="368"/>
        </w:trPr>
        <w:tc>
          <w:tcPr>
            <w:tcW w:w="1701" w:type="dxa"/>
            <w:vMerge/>
            <w:tcBorders>
              <w:right w:val="single" w:sz="2" w:space="0" w:color="231F20"/>
            </w:tcBorders>
          </w:tcPr>
          <w:p w14:paraId="42BFB81E"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12" w:space="0" w:color="231F20"/>
              <w:right w:val="single" w:sz="2" w:space="0" w:color="231F20"/>
            </w:tcBorders>
          </w:tcPr>
          <w:p w14:paraId="50072293"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11.4.</w:t>
            </w:r>
            <w:r>
              <w:rPr>
                <w:rFonts w:ascii="Carlito" w:eastAsia="Carlito" w:hAnsi="Carlito" w:cs="Carlito"/>
                <w:color w:val="231F20"/>
                <w:spacing w:val="-2"/>
                <w:w w:val="105"/>
                <w:sz w:val="21"/>
              </w:rPr>
              <w:t xml:space="preserve"> </w:t>
            </w:r>
            <w:r>
              <w:rPr>
                <w:rFonts w:ascii="Carlito" w:eastAsia="Carlito" w:hAnsi="Carlito" w:cs="Carlito"/>
                <w:color w:val="231F20"/>
                <w:w w:val="105"/>
                <w:sz w:val="21"/>
              </w:rPr>
              <w:t>NGOs</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12" w:space="0" w:color="231F20"/>
            </w:tcBorders>
            <w:vAlign w:val="bottom"/>
          </w:tcPr>
          <w:p w14:paraId="3CC64CC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12" w:space="0" w:color="231F20"/>
            </w:tcBorders>
            <w:vAlign w:val="bottom"/>
          </w:tcPr>
          <w:p w14:paraId="1E7C2CEF"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12" w:space="0" w:color="231F20"/>
            </w:tcBorders>
            <w:vAlign w:val="bottom"/>
          </w:tcPr>
          <w:p w14:paraId="1CD4A0F9"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12" w:space="0" w:color="231F20"/>
            </w:tcBorders>
            <w:vAlign w:val="bottom"/>
          </w:tcPr>
          <w:p w14:paraId="24302343"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12" w:space="0" w:color="231F20"/>
            </w:tcBorders>
            <w:vAlign w:val="bottom"/>
          </w:tcPr>
          <w:p w14:paraId="65C57AA8"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50E199CB" w14:textId="77777777">
        <w:trPr>
          <w:trHeight w:val="368"/>
        </w:trPr>
        <w:tc>
          <w:tcPr>
            <w:tcW w:w="1701" w:type="dxa"/>
            <w:vMerge w:val="restart"/>
            <w:tcBorders>
              <w:right w:val="single" w:sz="2" w:space="0" w:color="231F20"/>
            </w:tcBorders>
          </w:tcPr>
          <w:p w14:paraId="5B7ED571" w14:textId="77777777" w:rsidR="0099599B" w:rsidRDefault="0099599B">
            <w:pPr>
              <w:widowControl w:val="0"/>
              <w:autoSpaceDE w:val="0"/>
              <w:autoSpaceDN w:val="0"/>
              <w:spacing w:before="111" w:after="0" w:line="252" w:lineRule="auto"/>
              <w:ind w:left="109" w:right="123"/>
              <w:rPr>
                <w:rFonts w:ascii="Carlito" w:eastAsia="Carlito" w:hAnsi="Carlito" w:cs="Carlito"/>
                <w:b/>
                <w:color w:val="231F20"/>
                <w:w w:val="105"/>
                <w:sz w:val="21"/>
              </w:rPr>
            </w:pPr>
          </w:p>
          <w:p w14:paraId="2BCF3B80" w14:textId="77777777" w:rsidR="0099599B" w:rsidRDefault="0099599B">
            <w:pPr>
              <w:widowControl w:val="0"/>
              <w:autoSpaceDE w:val="0"/>
              <w:autoSpaceDN w:val="0"/>
              <w:spacing w:before="111" w:after="0" w:line="252" w:lineRule="auto"/>
              <w:ind w:left="109" w:right="123"/>
              <w:rPr>
                <w:rFonts w:ascii="Carlito" w:eastAsia="Carlito" w:hAnsi="Carlito" w:cs="Carlito"/>
                <w:b/>
                <w:color w:val="231F20"/>
                <w:w w:val="105"/>
                <w:sz w:val="21"/>
              </w:rPr>
            </w:pPr>
          </w:p>
          <w:p w14:paraId="482A631C" w14:textId="77777777" w:rsidR="0099599B" w:rsidRDefault="0099599B">
            <w:pPr>
              <w:widowControl w:val="0"/>
              <w:autoSpaceDE w:val="0"/>
              <w:autoSpaceDN w:val="0"/>
              <w:spacing w:before="111" w:after="0" w:line="252" w:lineRule="auto"/>
              <w:ind w:left="109" w:right="123"/>
              <w:rPr>
                <w:rFonts w:ascii="Carlito" w:eastAsia="Carlito" w:hAnsi="Carlito" w:cs="Carlito"/>
                <w:b/>
                <w:color w:val="231F20"/>
                <w:w w:val="105"/>
                <w:sz w:val="21"/>
              </w:rPr>
            </w:pPr>
          </w:p>
          <w:p w14:paraId="1D28F933" w14:textId="77777777" w:rsidR="0099599B" w:rsidRDefault="00EB7A3F">
            <w:pPr>
              <w:widowControl w:val="0"/>
              <w:autoSpaceDE w:val="0"/>
              <w:autoSpaceDN w:val="0"/>
              <w:spacing w:before="111" w:after="0" w:line="252" w:lineRule="auto"/>
              <w:ind w:left="109" w:right="123"/>
              <w:rPr>
                <w:rFonts w:ascii="Carlito" w:eastAsia="Carlito" w:hAnsi="Carlito" w:cs="Carlito"/>
                <w:b/>
                <w:sz w:val="21"/>
              </w:rPr>
            </w:pPr>
            <w:r>
              <w:rPr>
                <w:rFonts w:ascii="Carlito" w:eastAsia="Carlito" w:hAnsi="Carlito" w:cs="Carlito"/>
                <w:b/>
                <w:color w:val="231F20"/>
                <w:w w:val="105"/>
                <w:sz w:val="21"/>
              </w:rPr>
              <w:t>12. Own account worker</w:t>
            </w:r>
          </w:p>
          <w:p w14:paraId="47ECCCB4"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12" w:space="0" w:color="231F20"/>
              <w:left w:val="single" w:sz="2" w:space="0" w:color="231F20"/>
              <w:bottom w:val="single" w:sz="2" w:space="0" w:color="231F20"/>
              <w:right w:val="single" w:sz="2" w:space="0" w:color="231F20"/>
            </w:tcBorders>
          </w:tcPr>
          <w:p w14:paraId="6275F18D"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sz w:val="21"/>
              </w:rPr>
              <w:t>12.1.</w:t>
            </w:r>
            <w:r>
              <w:rPr>
                <w:rFonts w:ascii="Carlito" w:eastAsia="Carlito" w:hAnsi="Carlito" w:cs="Carlito"/>
                <w:color w:val="231F20"/>
                <w:spacing w:val="19"/>
                <w:sz w:val="21"/>
              </w:rPr>
              <w:t xml:space="preserve"> </w:t>
            </w:r>
            <w:r>
              <w:rPr>
                <w:rFonts w:ascii="Carlito" w:eastAsia="Carlito" w:hAnsi="Carlito" w:cs="Carlito"/>
                <w:color w:val="231F20"/>
                <w:sz w:val="21"/>
              </w:rPr>
              <w:t>Fishermen</w:t>
            </w:r>
          </w:p>
        </w:tc>
        <w:tc>
          <w:tcPr>
            <w:tcW w:w="716" w:type="dxa"/>
            <w:tcBorders>
              <w:top w:val="single" w:sz="12" w:space="0" w:color="231F20"/>
              <w:left w:val="single" w:sz="2" w:space="0" w:color="231F20"/>
              <w:bottom w:val="single" w:sz="2" w:space="0" w:color="231F20"/>
            </w:tcBorders>
            <w:vAlign w:val="bottom"/>
          </w:tcPr>
          <w:p w14:paraId="61C09818"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12" w:space="0" w:color="231F20"/>
              <w:left w:val="single" w:sz="2" w:space="0" w:color="231F20"/>
              <w:bottom w:val="single" w:sz="2" w:space="0" w:color="231F20"/>
            </w:tcBorders>
            <w:vAlign w:val="bottom"/>
          </w:tcPr>
          <w:p w14:paraId="3497C3CF"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12" w:space="0" w:color="231F20"/>
              <w:left w:val="single" w:sz="2" w:space="0" w:color="231F20"/>
              <w:bottom w:val="single" w:sz="2" w:space="0" w:color="231F20"/>
            </w:tcBorders>
            <w:vAlign w:val="bottom"/>
          </w:tcPr>
          <w:p w14:paraId="3D3FB60A"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12" w:space="0" w:color="231F20"/>
              <w:left w:val="single" w:sz="2" w:space="0" w:color="231F20"/>
              <w:bottom w:val="single" w:sz="2" w:space="0" w:color="231F20"/>
            </w:tcBorders>
            <w:vAlign w:val="bottom"/>
          </w:tcPr>
          <w:p w14:paraId="50376F4E"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12" w:space="0" w:color="231F20"/>
              <w:left w:val="single" w:sz="2" w:space="0" w:color="231F20"/>
              <w:bottom w:val="single" w:sz="2" w:space="0" w:color="231F20"/>
            </w:tcBorders>
            <w:vAlign w:val="bottom"/>
          </w:tcPr>
          <w:p w14:paraId="79B5DCB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3F2B6704" w14:textId="77777777">
        <w:trPr>
          <w:trHeight w:val="368"/>
        </w:trPr>
        <w:tc>
          <w:tcPr>
            <w:tcW w:w="1701" w:type="dxa"/>
            <w:vMerge/>
            <w:tcBorders>
              <w:right w:val="single" w:sz="2" w:space="0" w:color="231F20"/>
            </w:tcBorders>
          </w:tcPr>
          <w:p w14:paraId="79D5F2DC"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1FD2D444"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12.2.</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Street</w:t>
            </w:r>
            <w:r>
              <w:rPr>
                <w:rFonts w:ascii="Carlito" w:eastAsia="Carlito" w:hAnsi="Carlito" w:cs="Carlito"/>
                <w:color w:val="231F20"/>
                <w:spacing w:val="-3"/>
                <w:w w:val="105"/>
                <w:sz w:val="21"/>
              </w:rPr>
              <w:t xml:space="preserve"> </w:t>
            </w:r>
            <w:r>
              <w:rPr>
                <w:rFonts w:ascii="Carlito" w:eastAsia="Carlito" w:hAnsi="Carlito" w:cs="Carlito"/>
                <w:color w:val="231F20"/>
                <w:w w:val="105"/>
                <w:sz w:val="21"/>
              </w:rPr>
              <w:t>sellers</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7625EF5E"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285CF1F8"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10BB84A6"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04DC87B6"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1B4EF57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305300AD" w14:textId="77777777">
        <w:trPr>
          <w:trHeight w:val="368"/>
        </w:trPr>
        <w:tc>
          <w:tcPr>
            <w:tcW w:w="1701" w:type="dxa"/>
            <w:vMerge/>
            <w:tcBorders>
              <w:right w:val="single" w:sz="2" w:space="0" w:color="231F20"/>
            </w:tcBorders>
          </w:tcPr>
          <w:p w14:paraId="7F1BD24D"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695FC99C"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12.3.</w:t>
            </w:r>
            <w:r>
              <w:rPr>
                <w:rFonts w:ascii="Carlito" w:eastAsia="Carlito" w:hAnsi="Carlito" w:cs="Carlito"/>
                <w:color w:val="231F20"/>
                <w:spacing w:val="-3"/>
                <w:w w:val="105"/>
                <w:sz w:val="21"/>
              </w:rPr>
              <w:t xml:space="preserve"> </w:t>
            </w:r>
            <w:r>
              <w:rPr>
                <w:rFonts w:ascii="Carlito" w:eastAsia="Carlito" w:hAnsi="Carlito" w:cs="Carlito"/>
                <w:color w:val="231F20"/>
                <w:w w:val="105"/>
                <w:sz w:val="21"/>
              </w:rPr>
              <w:t>Carpenters</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1AC64668"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4387CA5D"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4B6B2FAC"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6A10A3D0"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1B694399"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5A1B5FD9" w14:textId="77777777">
        <w:trPr>
          <w:trHeight w:val="368"/>
        </w:trPr>
        <w:tc>
          <w:tcPr>
            <w:tcW w:w="1701" w:type="dxa"/>
            <w:vMerge/>
            <w:tcBorders>
              <w:right w:val="single" w:sz="2" w:space="0" w:color="231F20"/>
            </w:tcBorders>
          </w:tcPr>
          <w:p w14:paraId="7B4DBA3F"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6FEEF513"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sz w:val="21"/>
              </w:rPr>
              <w:t>12.4.</w:t>
            </w:r>
            <w:r>
              <w:rPr>
                <w:rFonts w:ascii="Carlito" w:eastAsia="Carlito" w:hAnsi="Carlito" w:cs="Carlito"/>
                <w:color w:val="231F20"/>
                <w:spacing w:val="17"/>
                <w:sz w:val="21"/>
              </w:rPr>
              <w:t xml:space="preserve"> </w:t>
            </w:r>
            <w:r>
              <w:rPr>
                <w:rFonts w:ascii="Carlito" w:eastAsia="Carlito" w:hAnsi="Carlito" w:cs="Carlito"/>
                <w:color w:val="231F20"/>
                <w:sz w:val="21"/>
              </w:rPr>
              <w:t>Weaving/sewing</w:t>
            </w:r>
            <w:r>
              <w:rPr>
                <w:rFonts w:ascii="Carlito" w:eastAsia="Carlito" w:hAnsi="Carlito" w:cs="Carlito"/>
                <w:color w:val="231F20"/>
                <w:sz w:val="21"/>
              </w:rPr>
              <w:tab/>
            </w:r>
          </w:p>
        </w:tc>
        <w:tc>
          <w:tcPr>
            <w:tcW w:w="716" w:type="dxa"/>
            <w:tcBorders>
              <w:top w:val="single" w:sz="2" w:space="0" w:color="231F20"/>
              <w:left w:val="single" w:sz="2" w:space="0" w:color="231F20"/>
              <w:bottom w:val="single" w:sz="2" w:space="0" w:color="231F20"/>
            </w:tcBorders>
            <w:vAlign w:val="bottom"/>
          </w:tcPr>
          <w:p w14:paraId="3D3CD336"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617F9B74"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777B8D00"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59DD2D5D"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15222613"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r>
      <w:tr w:rsidR="0099599B" w14:paraId="4AB6FAAB" w14:textId="77777777">
        <w:trPr>
          <w:trHeight w:val="368"/>
        </w:trPr>
        <w:tc>
          <w:tcPr>
            <w:tcW w:w="1701" w:type="dxa"/>
            <w:vMerge/>
            <w:tcBorders>
              <w:right w:val="single" w:sz="2" w:space="0" w:color="231F20"/>
            </w:tcBorders>
          </w:tcPr>
          <w:p w14:paraId="6738E378"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0C7B520E"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12.5.</w:t>
            </w:r>
            <w:r>
              <w:rPr>
                <w:rFonts w:ascii="Carlito" w:eastAsia="Carlito" w:hAnsi="Carlito" w:cs="Carlito"/>
                <w:color w:val="231F20"/>
                <w:spacing w:val="-3"/>
                <w:w w:val="105"/>
                <w:sz w:val="21"/>
              </w:rPr>
              <w:t xml:space="preserve"> </w:t>
            </w:r>
            <w:r>
              <w:rPr>
                <w:rFonts w:ascii="Carlito" w:eastAsia="Carlito" w:hAnsi="Carlito" w:cs="Carlito"/>
                <w:color w:val="231F20"/>
                <w:w w:val="105"/>
                <w:sz w:val="21"/>
              </w:rPr>
              <w:t>Lawyers</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7207A64B"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7" w:type="dxa"/>
            <w:tcBorders>
              <w:top w:val="single" w:sz="2" w:space="0" w:color="231F20"/>
              <w:left w:val="single" w:sz="2" w:space="0" w:color="231F20"/>
              <w:bottom w:val="single" w:sz="2" w:space="0" w:color="231F20"/>
            </w:tcBorders>
            <w:vAlign w:val="bottom"/>
          </w:tcPr>
          <w:p w14:paraId="2A8388D4"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1324F0FB" w14:textId="77777777" w:rsidR="0099599B" w:rsidRDefault="00EB7A3F">
            <w:pPr>
              <w:widowControl w:val="0"/>
              <w:autoSpaceDE w:val="0"/>
              <w:autoSpaceDN w:val="0"/>
              <w:spacing w:after="0" w:line="240" w:lineRule="auto"/>
              <w:jc w:val="center"/>
              <w:rPr>
                <w:rFonts w:eastAsia="Carlito"/>
                <w:sz w:val="28"/>
                <w:szCs w:val="28"/>
              </w:rPr>
            </w:pPr>
            <w:r>
              <w:rPr>
                <w:rFonts w:eastAsia="Carlito"/>
                <w:sz w:val="28"/>
                <w:szCs w:val="28"/>
              </w:rPr>
              <w:t>*</w:t>
            </w:r>
          </w:p>
        </w:tc>
        <w:tc>
          <w:tcPr>
            <w:tcW w:w="656" w:type="dxa"/>
            <w:tcBorders>
              <w:top w:val="single" w:sz="2" w:space="0" w:color="231F20"/>
              <w:left w:val="single" w:sz="2" w:space="0" w:color="231F20"/>
              <w:bottom w:val="single" w:sz="2" w:space="0" w:color="231F20"/>
            </w:tcBorders>
            <w:vAlign w:val="bottom"/>
          </w:tcPr>
          <w:p w14:paraId="0B3D76FF"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500AD5C0" w14:textId="77777777" w:rsidR="0099599B" w:rsidRDefault="0099599B">
            <w:pPr>
              <w:widowControl w:val="0"/>
              <w:autoSpaceDE w:val="0"/>
              <w:autoSpaceDN w:val="0"/>
              <w:spacing w:after="0" w:line="240" w:lineRule="auto"/>
              <w:jc w:val="center"/>
              <w:rPr>
                <w:rFonts w:eastAsia="Carlito"/>
                <w:sz w:val="28"/>
                <w:szCs w:val="28"/>
              </w:rPr>
            </w:pPr>
          </w:p>
        </w:tc>
      </w:tr>
      <w:tr w:rsidR="0099599B" w14:paraId="531678BB" w14:textId="77777777">
        <w:trPr>
          <w:trHeight w:val="368"/>
        </w:trPr>
        <w:tc>
          <w:tcPr>
            <w:tcW w:w="1701" w:type="dxa"/>
            <w:vMerge/>
            <w:tcBorders>
              <w:right w:val="single" w:sz="2" w:space="0" w:color="231F20"/>
            </w:tcBorders>
          </w:tcPr>
          <w:p w14:paraId="68BB5CBE"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76E1D111"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12.6.</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Accountants</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501E7688" w14:textId="77777777" w:rsidR="0099599B" w:rsidRDefault="0099599B">
            <w:pPr>
              <w:widowControl w:val="0"/>
              <w:autoSpaceDE w:val="0"/>
              <w:autoSpaceDN w:val="0"/>
              <w:spacing w:after="0" w:line="240" w:lineRule="auto"/>
              <w:jc w:val="center"/>
              <w:rPr>
                <w:rFonts w:eastAsia="Carlito"/>
                <w:sz w:val="28"/>
                <w:szCs w:val="28"/>
              </w:rPr>
            </w:pPr>
          </w:p>
        </w:tc>
        <w:tc>
          <w:tcPr>
            <w:tcW w:w="657" w:type="dxa"/>
            <w:tcBorders>
              <w:top w:val="single" w:sz="2" w:space="0" w:color="231F20"/>
              <w:left w:val="single" w:sz="2" w:space="0" w:color="231F20"/>
              <w:bottom w:val="single" w:sz="2" w:space="0" w:color="231F20"/>
            </w:tcBorders>
            <w:vAlign w:val="bottom"/>
          </w:tcPr>
          <w:p w14:paraId="3BB614E6"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534C9F0F"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3D7EE4AE"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4817C612" w14:textId="77777777" w:rsidR="0099599B" w:rsidRDefault="0099599B">
            <w:pPr>
              <w:widowControl w:val="0"/>
              <w:autoSpaceDE w:val="0"/>
              <w:autoSpaceDN w:val="0"/>
              <w:spacing w:after="0" w:line="240" w:lineRule="auto"/>
              <w:jc w:val="center"/>
              <w:rPr>
                <w:rFonts w:eastAsia="Carlito"/>
                <w:sz w:val="28"/>
                <w:szCs w:val="28"/>
              </w:rPr>
            </w:pPr>
          </w:p>
        </w:tc>
      </w:tr>
      <w:tr w:rsidR="0099599B" w14:paraId="592CD3E0" w14:textId="77777777">
        <w:trPr>
          <w:trHeight w:val="368"/>
        </w:trPr>
        <w:tc>
          <w:tcPr>
            <w:tcW w:w="1701" w:type="dxa"/>
            <w:vMerge/>
            <w:tcBorders>
              <w:right w:val="single" w:sz="2" w:space="0" w:color="231F20"/>
            </w:tcBorders>
          </w:tcPr>
          <w:p w14:paraId="20226FC2"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2" w:space="0" w:color="231F20"/>
              <w:right w:val="single" w:sz="2" w:space="0" w:color="231F20"/>
            </w:tcBorders>
          </w:tcPr>
          <w:p w14:paraId="64262670"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12.7.</w:t>
            </w:r>
            <w:r>
              <w:rPr>
                <w:rFonts w:ascii="Carlito" w:eastAsia="Carlito" w:hAnsi="Carlito" w:cs="Carlito"/>
                <w:color w:val="231F20"/>
                <w:spacing w:val="-4"/>
                <w:w w:val="105"/>
                <w:sz w:val="21"/>
              </w:rPr>
              <w:t xml:space="preserve"> </w:t>
            </w:r>
            <w:r>
              <w:rPr>
                <w:rFonts w:ascii="Carlito" w:eastAsia="Carlito" w:hAnsi="Carlito" w:cs="Carlito"/>
                <w:color w:val="231F20"/>
                <w:w w:val="105"/>
                <w:sz w:val="21"/>
              </w:rPr>
              <w:t>Licensed</w:t>
            </w:r>
            <w:r>
              <w:rPr>
                <w:rFonts w:ascii="Carlito" w:eastAsia="Carlito" w:hAnsi="Carlito" w:cs="Carlito"/>
                <w:color w:val="231F20"/>
                <w:spacing w:val="-2"/>
                <w:w w:val="105"/>
                <w:sz w:val="21"/>
              </w:rPr>
              <w:t xml:space="preserve"> </w:t>
            </w:r>
            <w:r>
              <w:rPr>
                <w:rFonts w:ascii="Carlito" w:eastAsia="Carlito" w:hAnsi="Carlito" w:cs="Carlito"/>
                <w:color w:val="231F20"/>
                <w:w w:val="105"/>
                <w:sz w:val="21"/>
              </w:rPr>
              <w:t>Electricians</w:t>
            </w:r>
            <w:r>
              <w:rPr>
                <w:rFonts w:ascii="Carlito" w:eastAsia="Carlito" w:hAnsi="Carlito" w:cs="Carlito"/>
                <w:color w:val="231F20"/>
                <w:w w:val="105"/>
                <w:sz w:val="21"/>
              </w:rPr>
              <w:tab/>
            </w:r>
          </w:p>
        </w:tc>
        <w:tc>
          <w:tcPr>
            <w:tcW w:w="716" w:type="dxa"/>
            <w:tcBorders>
              <w:top w:val="single" w:sz="2" w:space="0" w:color="231F20"/>
              <w:left w:val="single" w:sz="2" w:space="0" w:color="231F20"/>
              <w:bottom w:val="single" w:sz="2" w:space="0" w:color="231F20"/>
            </w:tcBorders>
            <w:vAlign w:val="bottom"/>
          </w:tcPr>
          <w:p w14:paraId="269D8309" w14:textId="77777777" w:rsidR="0099599B" w:rsidRDefault="0099599B">
            <w:pPr>
              <w:widowControl w:val="0"/>
              <w:autoSpaceDE w:val="0"/>
              <w:autoSpaceDN w:val="0"/>
              <w:spacing w:after="0" w:line="240" w:lineRule="auto"/>
              <w:jc w:val="center"/>
              <w:rPr>
                <w:rFonts w:eastAsia="Carlito"/>
                <w:sz w:val="28"/>
                <w:szCs w:val="28"/>
              </w:rPr>
            </w:pPr>
          </w:p>
        </w:tc>
        <w:tc>
          <w:tcPr>
            <w:tcW w:w="657" w:type="dxa"/>
            <w:tcBorders>
              <w:top w:val="single" w:sz="2" w:space="0" w:color="231F20"/>
              <w:left w:val="single" w:sz="2" w:space="0" w:color="231F20"/>
              <w:bottom w:val="single" w:sz="2" w:space="0" w:color="231F20"/>
            </w:tcBorders>
            <w:vAlign w:val="bottom"/>
          </w:tcPr>
          <w:p w14:paraId="03B8BCC6"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2" w:space="0" w:color="231F20"/>
            </w:tcBorders>
            <w:vAlign w:val="bottom"/>
          </w:tcPr>
          <w:p w14:paraId="612EBCDD"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2" w:space="0" w:color="231F20"/>
            </w:tcBorders>
            <w:vAlign w:val="bottom"/>
          </w:tcPr>
          <w:p w14:paraId="59104852"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2" w:space="0" w:color="231F20"/>
            </w:tcBorders>
            <w:vAlign w:val="bottom"/>
          </w:tcPr>
          <w:p w14:paraId="60B34A0E" w14:textId="77777777" w:rsidR="0099599B" w:rsidRDefault="0099599B">
            <w:pPr>
              <w:widowControl w:val="0"/>
              <w:autoSpaceDE w:val="0"/>
              <w:autoSpaceDN w:val="0"/>
              <w:spacing w:after="0" w:line="240" w:lineRule="auto"/>
              <w:jc w:val="center"/>
              <w:rPr>
                <w:rFonts w:eastAsia="Carlito"/>
                <w:sz w:val="28"/>
                <w:szCs w:val="28"/>
              </w:rPr>
            </w:pPr>
          </w:p>
        </w:tc>
      </w:tr>
      <w:tr w:rsidR="0099599B" w14:paraId="3B35144E" w14:textId="77777777">
        <w:trPr>
          <w:trHeight w:val="368"/>
        </w:trPr>
        <w:tc>
          <w:tcPr>
            <w:tcW w:w="1701" w:type="dxa"/>
            <w:vMerge/>
            <w:tcBorders>
              <w:right w:val="single" w:sz="2" w:space="0" w:color="231F20"/>
            </w:tcBorders>
          </w:tcPr>
          <w:p w14:paraId="27C91B95" w14:textId="77777777" w:rsidR="0099599B" w:rsidRDefault="0099599B">
            <w:pPr>
              <w:widowControl w:val="0"/>
              <w:autoSpaceDE w:val="0"/>
              <w:autoSpaceDN w:val="0"/>
              <w:spacing w:after="0" w:line="240" w:lineRule="auto"/>
              <w:rPr>
                <w:rFonts w:ascii="Carlito" w:eastAsia="Carlito" w:hAnsi="Carlito" w:cs="Carlito"/>
                <w:sz w:val="2"/>
                <w:szCs w:val="2"/>
              </w:rPr>
            </w:pPr>
          </w:p>
        </w:tc>
        <w:tc>
          <w:tcPr>
            <w:tcW w:w="4382" w:type="dxa"/>
            <w:tcBorders>
              <w:top w:val="single" w:sz="2" w:space="0" w:color="231F20"/>
              <w:left w:val="single" w:sz="2" w:space="0" w:color="231F20"/>
              <w:bottom w:val="single" w:sz="12" w:space="0" w:color="231F20"/>
              <w:right w:val="single" w:sz="2" w:space="0" w:color="231F20"/>
            </w:tcBorders>
          </w:tcPr>
          <w:p w14:paraId="6933E97C" w14:textId="77777777" w:rsidR="0099599B" w:rsidRDefault="00EB7A3F">
            <w:pPr>
              <w:widowControl w:val="0"/>
              <w:autoSpaceDE w:val="0"/>
              <w:autoSpaceDN w:val="0"/>
              <w:spacing w:before="166" w:after="0" w:line="240" w:lineRule="auto"/>
              <w:ind w:right="46"/>
              <w:rPr>
                <w:rFonts w:ascii="Carlito" w:eastAsia="Carlito" w:hAnsi="Carlito" w:cs="Carlito"/>
                <w:color w:val="231F20"/>
                <w:w w:val="105"/>
                <w:sz w:val="21"/>
              </w:rPr>
            </w:pPr>
            <w:r>
              <w:rPr>
                <w:rFonts w:ascii="Carlito" w:eastAsia="Carlito" w:hAnsi="Carlito" w:cs="Carlito"/>
                <w:color w:val="231F20"/>
                <w:w w:val="105"/>
                <w:sz w:val="21"/>
              </w:rPr>
              <w:t>12.8. Plumbers</w:t>
            </w:r>
            <w:r>
              <w:rPr>
                <w:rFonts w:ascii="Carlito" w:eastAsia="Carlito" w:hAnsi="Carlito" w:cs="Carlito"/>
                <w:color w:val="231F20"/>
                <w:w w:val="105"/>
                <w:sz w:val="21"/>
              </w:rPr>
              <w:tab/>
              <w:t>.</w:t>
            </w:r>
          </w:p>
        </w:tc>
        <w:tc>
          <w:tcPr>
            <w:tcW w:w="716" w:type="dxa"/>
            <w:tcBorders>
              <w:top w:val="single" w:sz="2" w:space="0" w:color="231F20"/>
              <w:left w:val="single" w:sz="2" w:space="0" w:color="231F20"/>
              <w:bottom w:val="single" w:sz="12" w:space="0" w:color="231F20"/>
            </w:tcBorders>
            <w:vAlign w:val="bottom"/>
          </w:tcPr>
          <w:p w14:paraId="07912965" w14:textId="77777777" w:rsidR="0099599B" w:rsidRDefault="0099599B">
            <w:pPr>
              <w:widowControl w:val="0"/>
              <w:autoSpaceDE w:val="0"/>
              <w:autoSpaceDN w:val="0"/>
              <w:spacing w:after="0" w:line="240" w:lineRule="auto"/>
              <w:jc w:val="center"/>
              <w:rPr>
                <w:rFonts w:eastAsia="Carlito"/>
                <w:sz w:val="28"/>
                <w:szCs w:val="28"/>
              </w:rPr>
            </w:pPr>
          </w:p>
        </w:tc>
        <w:tc>
          <w:tcPr>
            <w:tcW w:w="657" w:type="dxa"/>
            <w:tcBorders>
              <w:top w:val="single" w:sz="2" w:space="0" w:color="231F20"/>
              <w:left w:val="single" w:sz="2" w:space="0" w:color="231F20"/>
              <w:bottom w:val="single" w:sz="12" w:space="0" w:color="231F20"/>
            </w:tcBorders>
            <w:vAlign w:val="bottom"/>
          </w:tcPr>
          <w:p w14:paraId="66EDB805" w14:textId="77777777" w:rsidR="0099599B" w:rsidRDefault="0099599B">
            <w:pPr>
              <w:widowControl w:val="0"/>
              <w:autoSpaceDE w:val="0"/>
              <w:autoSpaceDN w:val="0"/>
              <w:spacing w:after="0" w:line="240" w:lineRule="auto"/>
              <w:jc w:val="center"/>
              <w:rPr>
                <w:rFonts w:eastAsia="Carlito"/>
                <w:sz w:val="28"/>
                <w:szCs w:val="28"/>
              </w:rPr>
            </w:pPr>
          </w:p>
        </w:tc>
        <w:tc>
          <w:tcPr>
            <w:tcW w:w="672" w:type="dxa"/>
            <w:tcBorders>
              <w:top w:val="single" w:sz="2" w:space="0" w:color="231F20"/>
              <w:left w:val="single" w:sz="2" w:space="0" w:color="231F20"/>
              <w:bottom w:val="single" w:sz="12" w:space="0" w:color="231F20"/>
            </w:tcBorders>
            <w:vAlign w:val="bottom"/>
          </w:tcPr>
          <w:p w14:paraId="48B977B9" w14:textId="77777777" w:rsidR="0099599B" w:rsidRDefault="0099599B">
            <w:pPr>
              <w:widowControl w:val="0"/>
              <w:autoSpaceDE w:val="0"/>
              <w:autoSpaceDN w:val="0"/>
              <w:spacing w:after="0" w:line="240" w:lineRule="auto"/>
              <w:jc w:val="center"/>
              <w:rPr>
                <w:rFonts w:eastAsia="Carlito"/>
                <w:sz w:val="28"/>
                <w:szCs w:val="28"/>
              </w:rPr>
            </w:pPr>
          </w:p>
        </w:tc>
        <w:tc>
          <w:tcPr>
            <w:tcW w:w="656" w:type="dxa"/>
            <w:tcBorders>
              <w:top w:val="single" w:sz="2" w:space="0" w:color="231F20"/>
              <w:left w:val="single" w:sz="2" w:space="0" w:color="231F20"/>
              <w:bottom w:val="single" w:sz="12" w:space="0" w:color="231F20"/>
            </w:tcBorders>
            <w:vAlign w:val="bottom"/>
          </w:tcPr>
          <w:p w14:paraId="0E32E13B" w14:textId="77777777" w:rsidR="0099599B" w:rsidRDefault="0099599B">
            <w:pPr>
              <w:widowControl w:val="0"/>
              <w:autoSpaceDE w:val="0"/>
              <w:autoSpaceDN w:val="0"/>
              <w:spacing w:after="0" w:line="240" w:lineRule="auto"/>
              <w:jc w:val="center"/>
              <w:rPr>
                <w:rFonts w:eastAsia="Carlito"/>
                <w:sz w:val="28"/>
                <w:szCs w:val="28"/>
              </w:rPr>
            </w:pPr>
          </w:p>
        </w:tc>
        <w:tc>
          <w:tcPr>
            <w:tcW w:w="508" w:type="dxa"/>
            <w:tcBorders>
              <w:top w:val="single" w:sz="2" w:space="0" w:color="231F20"/>
              <w:left w:val="single" w:sz="2" w:space="0" w:color="231F20"/>
              <w:bottom w:val="single" w:sz="12" w:space="0" w:color="231F20"/>
            </w:tcBorders>
            <w:vAlign w:val="bottom"/>
          </w:tcPr>
          <w:p w14:paraId="50F752EC" w14:textId="77777777" w:rsidR="0099599B" w:rsidRDefault="0099599B">
            <w:pPr>
              <w:widowControl w:val="0"/>
              <w:autoSpaceDE w:val="0"/>
              <w:autoSpaceDN w:val="0"/>
              <w:spacing w:after="0" w:line="240" w:lineRule="auto"/>
              <w:jc w:val="center"/>
              <w:rPr>
                <w:rFonts w:eastAsia="Carlito"/>
                <w:sz w:val="28"/>
                <w:szCs w:val="28"/>
              </w:rPr>
            </w:pPr>
          </w:p>
        </w:tc>
      </w:tr>
    </w:tbl>
    <w:p w14:paraId="7E58D5BD" w14:textId="77777777" w:rsidR="0099599B" w:rsidRDefault="0099599B"/>
    <w:p w14:paraId="310CB8F5" w14:textId="77777777" w:rsidR="0099599B" w:rsidRDefault="00EB7A3F">
      <w:r>
        <w:br w:type="page"/>
      </w:r>
    </w:p>
    <w:p w14:paraId="50206E3D" w14:textId="77777777" w:rsidR="0099599B" w:rsidRDefault="00EB7A3F">
      <w:pPr>
        <w:pStyle w:val="Heading2"/>
      </w:pPr>
      <w:bookmarkStart w:id="82" w:name="_Toc8486"/>
      <w:r>
        <w:lastRenderedPageBreak/>
        <w:t>Appendix 2 – Variables for LVI</w:t>
      </w:r>
      <w:bookmarkEnd w:id="82"/>
    </w:p>
    <w:tbl>
      <w:tblPr>
        <w:tblW w:w="532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89"/>
        <w:gridCol w:w="1992"/>
        <w:gridCol w:w="1667"/>
      </w:tblGrid>
      <w:tr w:rsidR="0099599B" w14:paraId="3935619C" w14:textId="77777777">
        <w:trPr>
          <w:trHeight w:val="288"/>
        </w:trPr>
        <w:tc>
          <w:tcPr>
            <w:tcW w:w="3160" w:type="pct"/>
            <w:tcBorders>
              <w:bottom w:val="single" w:sz="4" w:space="0" w:color="auto"/>
              <w:right w:val="nil"/>
            </w:tcBorders>
            <w:noWrap/>
            <w:vAlign w:val="bottom"/>
          </w:tcPr>
          <w:p w14:paraId="0731EED5" w14:textId="77777777" w:rsidR="0099599B" w:rsidRDefault="00EB7A3F">
            <w:pPr>
              <w:textAlignment w:val="bottom"/>
              <w:rPr>
                <w:rFonts w:ascii="Calibri" w:hAnsi="Calibri" w:cs="Calibri"/>
                <w:b/>
                <w:bCs/>
                <w:color w:val="000000"/>
                <w:sz w:val="22"/>
                <w:szCs w:val="22"/>
              </w:rPr>
            </w:pPr>
            <w:r>
              <w:rPr>
                <w:rFonts w:ascii="Calibri" w:eastAsia="SimSun" w:hAnsi="Calibri" w:cs="Calibri"/>
                <w:b/>
                <w:bCs/>
                <w:color w:val="000000"/>
                <w:kern w:val="0"/>
                <w:sz w:val="22"/>
                <w:szCs w:val="22"/>
                <w:lang w:eastAsia="zh-CN" w:bidi="ar"/>
              </w:rPr>
              <w:t>Variable</w:t>
            </w:r>
          </w:p>
        </w:tc>
        <w:tc>
          <w:tcPr>
            <w:tcW w:w="1001" w:type="pct"/>
            <w:tcBorders>
              <w:left w:val="nil"/>
              <w:bottom w:val="single" w:sz="4" w:space="0" w:color="auto"/>
              <w:right w:val="single" w:sz="4" w:space="0" w:color="auto"/>
            </w:tcBorders>
            <w:noWrap/>
            <w:vAlign w:val="center"/>
          </w:tcPr>
          <w:p w14:paraId="21A41E99" w14:textId="77777777" w:rsidR="0099599B" w:rsidRDefault="00EB7A3F">
            <w:pPr>
              <w:textAlignment w:val="center"/>
              <w:rPr>
                <w:rFonts w:ascii="Calibri" w:hAnsi="Calibri" w:cs="Calibri"/>
                <w:b/>
                <w:bCs/>
                <w:color w:val="000000"/>
                <w:sz w:val="22"/>
                <w:szCs w:val="22"/>
              </w:rPr>
            </w:pPr>
            <w:r>
              <w:rPr>
                <w:rFonts w:ascii="Calibri" w:eastAsia="SimSun" w:hAnsi="Calibri" w:cs="Calibri"/>
                <w:b/>
                <w:bCs/>
                <w:color w:val="000000"/>
                <w:kern w:val="0"/>
                <w:sz w:val="22"/>
                <w:szCs w:val="22"/>
                <w:lang w:eastAsia="zh-CN" w:bidi="ar"/>
              </w:rPr>
              <w:t>MAIN COMPONENT</w:t>
            </w:r>
          </w:p>
        </w:tc>
        <w:tc>
          <w:tcPr>
            <w:tcW w:w="838" w:type="pct"/>
            <w:tcBorders>
              <w:left w:val="single" w:sz="4" w:space="0" w:color="auto"/>
              <w:bottom w:val="single" w:sz="4" w:space="0" w:color="auto"/>
            </w:tcBorders>
            <w:noWrap/>
            <w:vAlign w:val="center"/>
          </w:tcPr>
          <w:p w14:paraId="3036966B" w14:textId="77777777" w:rsidR="0099599B" w:rsidRDefault="00EB7A3F">
            <w:pPr>
              <w:textAlignment w:val="center"/>
              <w:rPr>
                <w:rFonts w:ascii="Calibri" w:hAnsi="Calibri" w:cs="Calibri"/>
                <w:b/>
                <w:bCs/>
                <w:color w:val="000000"/>
                <w:sz w:val="22"/>
                <w:szCs w:val="22"/>
              </w:rPr>
            </w:pPr>
            <w:r>
              <w:rPr>
                <w:rFonts w:ascii="Calibri" w:eastAsia="SimSun" w:hAnsi="Calibri" w:cs="Calibri"/>
                <w:b/>
                <w:bCs/>
                <w:color w:val="000000"/>
                <w:kern w:val="0"/>
                <w:sz w:val="22"/>
                <w:szCs w:val="22"/>
                <w:lang w:eastAsia="zh-CN" w:bidi="ar"/>
              </w:rPr>
              <w:t>IPCC COMPONENT</w:t>
            </w:r>
          </w:p>
        </w:tc>
      </w:tr>
      <w:tr w:rsidR="0099599B" w14:paraId="201B95B7" w14:textId="77777777">
        <w:trPr>
          <w:trHeight w:val="288"/>
        </w:trPr>
        <w:tc>
          <w:tcPr>
            <w:tcW w:w="3160" w:type="pct"/>
            <w:tcBorders>
              <w:top w:val="single" w:sz="4" w:space="0" w:color="auto"/>
              <w:bottom w:val="single" w:sz="4" w:space="0" w:color="auto"/>
              <w:right w:val="nil"/>
            </w:tcBorders>
            <w:shd w:val="clear" w:color="auto" w:fill="E2EFDA"/>
            <w:noWrap/>
            <w:vAlign w:val="bottom"/>
          </w:tcPr>
          <w:p w14:paraId="4FEE763D"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Respondents with no Education</w:t>
            </w:r>
          </w:p>
        </w:tc>
        <w:tc>
          <w:tcPr>
            <w:tcW w:w="1001" w:type="pct"/>
            <w:tcBorders>
              <w:top w:val="single" w:sz="4" w:space="0" w:color="auto"/>
              <w:left w:val="nil"/>
              <w:bottom w:val="single" w:sz="4" w:space="0" w:color="auto"/>
              <w:right w:val="single" w:sz="4" w:space="0" w:color="auto"/>
            </w:tcBorders>
            <w:noWrap/>
            <w:vAlign w:val="center"/>
          </w:tcPr>
          <w:p w14:paraId="0A3AD077"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Sociodemographic profile</w:t>
            </w:r>
          </w:p>
        </w:tc>
        <w:tc>
          <w:tcPr>
            <w:tcW w:w="838" w:type="pct"/>
            <w:vMerge w:val="restart"/>
            <w:tcBorders>
              <w:top w:val="single" w:sz="4" w:space="0" w:color="auto"/>
              <w:left w:val="single" w:sz="4" w:space="0" w:color="auto"/>
              <w:bottom w:val="single" w:sz="4" w:space="0" w:color="auto"/>
            </w:tcBorders>
            <w:noWrap/>
            <w:vAlign w:val="center"/>
          </w:tcPr>
          <w:p w14:paraId="0D5C1197" w14:textId="77777777" w:rsidR="0099599B" w:rsidRDefault="00EB7A3F">
            <w:pPr>
              <w:jc w:val="cente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Adaptive Capacity</w:t>
            </w:r>
          </w:p>
        </w:tc>
      </w:tr>
      <w:tr w:rsidR="0099599B" w14:paraId="3FD6EC76" w14:textId="77777777">
        <w:trPr>
          <w:trHeight w:val="288"/>
        </w:trPr>
        <w:tc>
          <w:tcPr>
            <w:tcW w:w="3160" w:type="pct"/>
            <w:tcBorders>
              <w:top w:val="single" w:sz="4" w:space="0" w:color="auto"/>
              <w:bottom w:val="nil"/>
              <w:right w:val="nil"/>
            </w:tcBorders>
            <w:shd w:val="clear" w:color="auto" w:fill="E2EFDA"/>
            <w:noWrap/>
            <w:vAlign w:val="bottom"/>
          </w:tcPr>
          <w:p w14:paraId="5D4B485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Unemployed</w:t>
            </w:r>
          </w:p>
        </w:tc>
        <w:tc>
          <w:tcPr>
            <w:tcW w:w="1001" w:type="pct"/>
            <w:tcBorders>
              <w:top w:val="single" w:sz="4" w:space="0" w:color="auto"/>
              <w:left w:val="nil"/>
              <w:bottom w:val="nil"/>
              <w:right w:val="single" w:sz="4" w:space="0" w:color="auto"/>
            </w:tcBorders>
            <w:noWrap/>
            <w:vAlign w:val="center"/>
          </w:tcPr>
          <w:p w14:paraId="2C245BE0" w14:textId="77777777" w:rsidR="0099599B" w:rsidRDefault="0099599B">
            <w:pPr>
              <w:rPr>
                <w:rFonts w:ascii="Calibri" w:hAnsi="Calibri" w:cs="Calibri"/>
                <w:color w:val="000000"/>
                <w:sz w:val="22"/>
                <w:szCs w:val="22"/>
              </w:rPr>
            </w:pPr>
          </w:p>
        </w:tc>
        <w:tc>
          <w:tcPr>
            <w:tcW w:w="838" w:type="pct"/>
            <w:vMerge/>
            <w:tcBorders>
              <w:top w:val="single" w:sz="4" w:space="0" w:color="auto"/>
              <w:left w:val="single" w:sz="4" w:space="0" w:color="auto"/>
              <w:bottom w:val="nil"/>
            </w:tcBorders>
            <w:noWrap/>
            <w:vAlign w:val="center"/>
          </w:tcPr>
          <w:p w14:paraId="09E5616B" w14:textId="77777777" w:rsidR="0099599B" w:rsidRDefault="0099599B">
            <w:pPr>
              <w:jc w:val="center"/>
              <w:rPr>
                <w:rFonts w:ascii="Calibri" w:hAnsi="Calibri" w:cs="Calibri"/>
                <w:color w:val="000000"/>
                <w:sz w:val="22"/>
                <w:szCs w:val="22"/>
              </w:rPr>
            </w:pPr>
          </w:p>
        </w:tc>
      </w:tr>
      <w:tr w:rsidR="0099599B" w14:paraId="78B7FBE3" w14:textId="77777777">
        <w:trPr>
          <w:trHeight w:val="288"/>
        </w:trPr>
        <w:tc>
          <w:tcPr>
            <w:tcW w:w="3160" w:type="pct"/>
            <w:tcBorders>
              <w:top w:val="nil"/>
              <w:bottom w:val="nil"/>
              <w:right w:val="nil"/>
            </w:tcBorders>
            <w:shd w:val="clear" w:color="auto" w:fill="C6E0B4"/>
            <w:noWrap/>
            <w:vAlign w:val="bottom"/>
          </w:tcPr>
          <w:p w14:paraId="333A3340"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Not engaged in any secondary occupation</w:t>
            </w:r>
          </w:p>
        </w:tc>
        <w:tc>
          <w:tcPr>
            <w:tcW w:w="1001" w:type="pct"/>
            <w:tcBorders>
              <w:top w:val="nil"/>
              <w:left w:val="nil"/>
              <w:bottom w:val="nil"/>
              <w:right w:val="single" w:sz="4" w:space="0" w:color="auto"/>
            </w:tcBorders>
            <w:noWrap/>
            <w:vAlign w:val="center"/>
          </w:tcPr>
          <w:p w14:paraId="5ACCE38F"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Livelihood strategies</w:t>
            </w:r>
          </w:p>
        </w:tc>
        <w:tc>
          <w:tcPr>
            <w:tcW w:w="838" w:type="pct"/>
            <w:vMerge/>
            <w:tcBorders>
              <w:top w:val="nil"/>
              <w:left w:val="single" w:sz="4" w:space="0" w:color="auto"/>
              <w:bottom w:val="nil"/>
            </w:tcBorders>
            <w:noWrap/>
            <w:vAlign w:val="center"/>
          </w:tcPr>
          <w:p w14:paraId="0142BF77" w14:textId="77777777" w:rsidR="0099599B" w:rsidRDefault="0099599B">
            <w:pPr>
              <w:jc w:val="center"/>
              <w:rPr>
                <w:rFonts w:ascii="Calibri" w:hAnsi="Calibri" w:cs="Calibri"/>
                <w:color w:val="000000"/>
                <w:sz w:val="22"/>
                <w:szCs w:val="22"/>
              </w:rPr>
            </w:pPr>
          </w:p>
        </w:tc>
      </w:tr>
      <w:tr w:rsidR="0099599B" w14:paraId="6582FB55" w14:textId="77777777">
        <w:trPr>
          <w:trHeight w:val="288"/>
        </w:trPr>
        <w:tc>
          <w:tcPr>
            <w:tcW w:w="3160" w:type="pct"/>
            <w:tcBorders>
              <w:top w:val="nil"/>
              <w:bottom w:val="nil"/>
              <w:right w:val="nil"/>
            </w:tcBorders>
            <w:shd w:val="clear" w:color="auto" w:fill="C6E0B4"/>
            <w:noWrap/>
            <w:vAlign w:val="bottom"/>
          </w:tcPr>
          <w:p w14:paraId="4547347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Households with agriculture as only source of income</w:t>
            </w:r>
          </w:p>
        </w:tc>
        <w:tc>
          <w:tcPr>
            <w:tcW w:w="1001" w:type="pct"/>
            <w:tcBorders>
              <w:top w:val="nil"/>
              <w:left w:val="nil"/>
              <w:bottom w:val="nil"/>
              <w:right w:val="single" w:sz="4" w:space="0" w:color="auto"/>
            </w:tcBorders>
            <w:noWrap/>
            <w:vAlign w:val="center"/>
          </w:tcPr>
          <w:p w14:paraId="57B5A2E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E379604" w14:textId="77777777" w:rsidR="0099599B" w:rsidRDefault="0099599B">
            <w:pPr>
              <w:jc w:val="center"/>
              <w:rPr>
                <w:rFonts w:ascii="Calibri" w:hAnsi="Calibri" w:cs="Calibri"/>
                <w:color w:val="000000"/>
                <w:sz w:val="22"/>
                <w:szCs w:val="22"/>
              </w:rPr>
            </w:pPr>
          </w:p>
        </w:tc>
      </w:tr>
      <w:tr w:rsidR="0099599B" w14:paraId="01AD85A8" w14:textId="77777777">
        <w:trPr>
          <w:trHeight w:val="288"/>
        </w:trPr>
        <w:tc>
          <w:tcPr>
            <w:tcW w:w="3160" w:type="pct"/>
            <w:tcBorders>
              <w:top w:val="nil"/>
              <w:bottom w:val="nil"/>
              <w:right w:val="nil"/>
            </w:tcBorders>
            <w:shd w:val="clear" w:color="auto" w:fill="C6E0B4"/>
            <w:noWrap/>
            <w:vAlign w:val="bottom"/>
          </w:tcPr>
          <w:p w14:paraId="6CF0CAA9"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Households with civil or government as only source of income</w:t>
            </w:r>
          </w:p>
        </w:tc>
        <w:tc>
          <w:tcPr>
            <w:tcW w:w="1001" w:type="pct"/>
            <w:tcBorders>
              <w:top w:val="nil"/>
              <w:left w:val="nil"/>
              <w:bottom w:val="nil"/>
              <w:right w:val="single" w:sz="4" w:space="0" w:color="auto"/>
            </w:tcBorders>
            <w:noWrap/>
            <w:vAlign w:val="center"/>
          </w:tcPr>
          <w:p w14:paraId="6C9BACFA"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B47EF21" w14:textId="77777777" w:rsidR="0099599B" w:rsidRDefault="0099599B">
            <w:pPr>
              <w:jc w:val="center"/>
              <w:rPr>
                <w:rFonts w:ascii="Calibri" w:hAnsi="Calibri" w:cs="Calibri"/>
                <w:color w:val="000000"/>
                <w:sz w:val="22"/>
                <w:szCs w:val="22"/>
              </w:rPr>
            </w:pPr>
          </w:p>
        </w:tc>
      </w:tr>
      <w:tr w:rsidR="0099599B" w14:paraId="4ED21217" w14:textId="77777777">
        <w:trPr>
          <w:trHeight w:val="288"/>
        </w:trPr>
        <w:tc>
          <w:tcPr>
            <w:tcW w:w="3160" w:type="pct"/>
            <w:tcBorders>
              <w:top w:val="nil"/>
              <w:bottom w:val="nil"/>
              <w:right w:val="nil"/>
            </w:tcBorders>
            <w:shd w:val="clear" w:color="auto" w:fill="C6E0B4"/>
            <w:noWrap/>
            <w:vAlign w:val="bottom"/>
          </w:tcPr>
          <w:p w14:paraId="78ED282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Households with private sector (</w:t>
            </w:r>
            <w:r>
              <w:rPr>
                <w:rFonts w:ascii="Calibri" w:eastAsia="SimSun" w:hAnsi="Calibri" w:cs="Calibri"/>
                <w:color w:val="000000"/>
                <w:kern w:val="0"/>
                <w:sz w:val="22"/>
                <w:szCs w:val="22"/>
                <w:lang w:eastAsia="zh-CN" w:bidi="ar"/>
              </w:rPr>
              <w:t>business</w:t>
            </w:r>
            <w:r>
              <w:rPr>
                <w:rFonts w:ascii="Calibri" w:eastAsia="SimSun" w:hAnsi="Calibri" w:cs="Calibri"/>
                <w:color w:val="000000"/>
                <w:kern w:val="0"/>
                <w:sz w:val="22"/>
                <w:szCs w:val="22"/>
                <w:lang w:eastAsia="zh-CN" w:bidi="ar"/>
              </w:rPr>
              <w:t>) as only source of income</w:t>
            </w:r>
          </w:p>
        </w:tc>
        <w:tc>
          <w:tcPr>
            <w:tcW w:w="1001" w:type="pct"/>
            <w:tcBorders>
              <w:top w:val="nil"/>
              <w:left w:val="nil"/>
              <w:bottom w:val="nil"/>
              <w:right w:val="single" w:sz="4" w:space="0" w:color="auto"/>
            </w:tcBorders>
            <w:noWrap/>
            <w:vAlign w:val="center"/>
          </w:tcPr>
          <w:p w14:paraId="3D29CA11"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0739C89E" w14:textId="77777777" w:rsidR="0099599B" w:rsidRDefault="0099599B">
            <w:pPr>
              <w:jc w:val="center"/>
              <w:rPr>
                <w:rFonts w:ascii="Calibri" w:hAnsi="Calibri" w:cs="Calibri"/>
                <w:color w:val="000000"/>
                <w:sz w:val="22"/>
                <w:szCs w:val="22"/>
              </w:rPr>
            </w:pPr>
          </w:p>
        </w:tc>
      </w:tr>
      <w:tr w:rsidR="0099599B" w14:paraId="36A727F6" w14:textId="77777777">
        <w:trPr>
          <w:trHeight w:val="288"/>
        </w:trPr>
        <w:tc>
          <w:tcPr>
            <w:tcW w:w="3160" w:type="pct"/>
            <w:tcBorders>
              <w:top w:val="nil"/>
              <w:bottom w:val="nil"/>
              <w:right w:val="nil"/>
            </w:tcBorders>
            <w:shd w:val="clear" w:color="auto" w:fill="C6E0B4"/>
            <w:noWrap/>
            <w:vAlign w:val="bottom"/>
          </w:tcPr>
          <w:p w14:paraId="6C0CDB2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Households with fishing as only source of income</w:t>
            </w:r>
          </w:p>
        </w:tc>
        <w:tc>
          <w:tcPr>
            <w:tcW w:w="1001" w:type="pct"/>
            <w:tcBorders>
              <w:top w:val="nil"/>
              <w:left w:val="nil"/>
              <w:bottom w:val="nil"/>
              <w:right w:val="single" w:sz="4" w:space="0" w:color="auto"/>
            </w:tcBorders>
            <w:noWrap/>
            <w:vAlign w:val="center"/>
          </w:tcPr>
          <w:p w14:paraId="443FC54D"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D80F0EA" w14:textId="77777777" w:rsidR="0099599B" w:rsidRDefault="0099599B">
            <w:pPr>
              <w:jc w:val="center"/>
              <w:rPr>
                <w:rFonts w:ascii="Calibri" w:hAnsi="Calibri" w:cs="Calibri"/>
                <w:color w:val="000000"/>
                <w:sz w:val="22"/>
                <w:szCs w:val="22"/>
              </w:rPr>
            </w:pPr>
          </w:p>
        </w:tc>
      </w:tr>
      <w:tr w:rsidR="0099599B" w14:paraId="2221C26F" w14:textId="77777777">
        <w:trPr>
          <w:trHeight w:val="288"/>
        </w:trPr>
        <w:tc>
          <w:tcPr>
            <w:tcW w:w="3160" w:type="pct"/>
            <w:tcBorders>
              <w:top w:val="nil"/>
              <w:bottom w:val="nil"/>
              <w:right w:val="nil"/>
            </w:tcBorders>
            <w:shd w:val="clear" w:color="auto" w:fill="C6E0B4"/>
            <w:noWrap/>
            <w:vAlign w:val="bottom"/>
          </w:tcPr>
          <w:p w14:paraId="45B4D1D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%Households without member working outside community</w:t>
            </w:r>
          </w:p>
        </w:tc>
        <w:tc>
          <w:tcPr>
            <w:tcW w:w="1001" w:type="pct"/>
            <w:tcBorders>
              <w:top w:val="nil"/>
              <w:left w:val="nil"/>
              <w:bottom w:val="nil"/>
              <w:right w:val="single" w:sz="4" w:space="0" w:color="auto"/>
            </w:tcBorders>
            <w:noWrap/>
            <w:vAlign w:val="center"/>
          </w:tcPr>
          <w:p w14:paraId="44E4391E"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02701D54" w14:textId="77777777" w:rsidR="0099599B" w:rsidRDefault="0099599B">
            <w:pPr>
              <w:jc w:val="center"/>
              <w:rPr>
                <w:rFonts w:ascii="Calibri" w:hAnsi="Calibri" w:cs="Calibri"/>
                <w:color w:val="000000"/>
                <w:sz w:val="22"/>
                <w:szCs w:val="22"/>
              </w:rPr>
            </w:pPr>
          </w:p>
        </w:tc>
      </w:tr>
      <w:tr w:rsidR="0099599B" w14:paraId="4E2CD1F3" w14:textId="77777777">
        <w:trPr>
          <w:trHeight w:val="288"/>
        </w:trPr>
        <w:tc>
          <w:tcPr>
            <w:tcW w:w="3160" w:type="pct"/>
            <w:tcBorders>
              <w:top w:val="nil"/>
              <w:bottom w:val="nil"/>
              <w:right w:val="nil"/>
            </w:tcBorders>
            <w:shd w:val="clear" w:color="auto" w:fill="C6E0B4"/>
            <w:noWrap/>
            <w:vAlign w:val="bottom"/>
          </w:tcPr>
          <w:p w14:paraId="042CE888"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Not dependent on ecosytem services</w:t>
            </w:r>
          </w:p>
        </w:tc>
        <w:tc>
          <w:tcPr>
            <w:tcW w:w="1001" w:type="pct"/>
            <w:tcBorders>
              <w:top w:val="nil"/>
              <w:left w:val="nil"/>
              <w:bottom w:val="nil"/>
              <w:right w:val="single" w:sz="4" w:space="0" w:color="auto"/>
            </w:tcBorders>
            <w:noWrap/>
            <w:vAlign w:val="center"/>
          </w:tcPr>
          <w:p w14:paraId="49E1697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798060B" w14:textId="77777777" w:rsidR="0099599B" w:rsidRDefault="0099599B">
            <w:pPr>
              <w:jc w:val="center"/>
              <w:rPr>
                <w:rFonts w:ascii="Calibri" w:hAnsi="Calibri" w:cs="Calibri"/>
                <w:color w:val="000000"/>
                <w:sz w:val="22"/>
                <w:szCs w:val="22"/>
              </w:rPr>
            </w:pPr>
          </w:p>
        </w:tc>
      </w:tr>
      <w:tr w:rsidR="0099599B" w14:paraId="1D54D444" w14:textId="77777777">
        <w:trPr>
          <w:trHeight w:val="288"/>
        </w:trPr>
        <w:tc>
          <w:tcPr>
            <w:tcW w:w="3160" w:type="pct"/>
            <w:tcBorders>
              <w:top w:val="nil"/>
              <w:bottom w:val="nil"/>
              <w:right w:val="nil"/>
            </w:tcBorders>
            <w:shd w:val="clear" w:color="auto" w:fill="C6E0B4"/>
            <w:noWrap/>
            <w:vAlign w:val="bottom"/>
          </w:tcPr>
          <w:p w14:paraId="287F3E15"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Not obtaining income from the forestry sector</w:t>
            </w:r>
          </w:p>
        </w:tc>
        <w:tc>
          <w:tcPr>
            <w:tcW w:w="1001" w:type="pct"/>
            <w:tcBorders>
              <w:top w:val="nil"/>
              <w:left w:val="nil"/>
              <w:bottom w:val="nil"/>
              <w:right w:val="single" w:sz="4" w:space="0" w:color="auto"/>
            </w:tcBorders>
            <w:noWrap/>
            <w:vAlign w:val="center"/>
          </w:tcPr>
          <w:p w14:paraId="347D6733"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9ECD283" w14:textId="77777777" w:rsidR="0099599B" w:rsidRDefault="0099599B">
            <w:pPr>
              <w:jc w:val="center"/>
              <w:rPr>
                <w:rFonts w:ascii="Calibri" w:hAnsi="Calibri" w:cs="Calibri"/>
                <w:color w:val="000000"/>
                <w:sz w:val="22"/>
                <w:szCs w:val="22"/>
              </w:rPr>
            </w:pPr>
          </w:p>
        </w:tc>
      </w:tr>
      <w:tr w:rsidR="0099599B" w14:paraId="031F5291" w14:textId="77777777">
        <w:trPr>
          <w:trHeight w:val="288"/>
        </w:trPr>
        <w:tc>
          <w:tcPr>
            <w:tcW w:w="3160" w:type="pct"/>
            <w:tcBorders>
              <w:top w:val="nil"/>
              <w:bottom w:val="nil"/>
              <w:right w:val="nil"/>
            </w:tcBorders>
            <w:shd w:val="clear" w:color="auto" w:fill="C6E0B4"/>
            <w:noWrap/>
            <w:vAlign w:val="bottom"/>
          </w:tcPr>
          <w:p w14:paraId="5A60050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not growing 1 more crop</w:t>
            </w:r>
          </w:p>
        </w:tc>
        <w:tc>
          <w:tcPr>
            <w:tcW w:w="1001" w:type="pct"/>
            <w:tcBorders>
              <w:top w:val="nil"/>
              <w:left w:val="nil"/>
              <w:bottom w:val="nil"/>
              <w:right w:val="single" w:sz="4" w:space="0" w:color="auto"/>
            </w:tcBorders>
            <w:noWrap/>
            <w:vAlign w:val="center"/>
          </w:tcPr>
          <w:p w14:paraId="30ADAC9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1C30EE6" w14:textId="77777777" w:rsidR="0099599B" w:rsidRDefault="0099599B">
            <w:pPr>
              <w:jc w:val="center"/>
              <w:rPr>
                <w:rFonts w:ascii="Calibri" w:hAnsi="Calibri" w:cs="Calibri"/>
                <w:color w:val="000000"/>
                <w:sz w:val="22"/>
                <w:szCs w:val="22"/>
              </w:rPr>
            </w:pPr>
          </w:p>
        </w:tc>
      </w:tr>
      <w:tr w:rsidR="0099599B" w14:paraId="3779F2DF" w14:textId="77777777">
        <w:trPr>
          <w:trHeight w:val="288"/>
        </w:trPr>
        <w:tc>
          <w:tcPr>
            <w:tcW w:w="3160" w:type="pct"/>
            <w:tcBorders>
              <w:top w:val="nil"/>
              <w:bottom w:val="nil"/>
              <w:right w:val="nil"/>
            </w:tcBorders>
            <w:shd w:val="clear" w:color="auto" w:fill="C6E0B4"/>
            <w:noWrap/>
            <w:vAlign w:val="bottom"/>
          </w:tcPr>
          <w:p w14:paraId="63AF4350"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not rearing livestock</w:t>
            </w:r>
          </w:p>
        </w:tc>
        <w:tc>
          <w:tcPr>
            <w:tcW w:w="1001" w:type="pct"/>
            <w:tcBorders>
              <w:top w:val="nil"/>
              <w:left w:val="nil"/>
              <w:bottom w:val="nil"/>
              <w:right w:val="single" w:sz="4" w:space="0" w:color="auto"/>
            </w:tcBorders>
            <w:noWrap/>
            <w:vAlign w:val="center"/>
          </w:tcPr>
          <w:p w14:paraId="55B64E92"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DF12735" w14:textId="77777777" w:rsidR="0099599B" w:rsidRDefault="0099599B">
            <w:pPr>
              <w:jc w:val="center"/>
              <w:rPr>
                <w:rFonts w:ascii="Calibri" w:hAnsi="Calibri" w:cs="Calibri"/>
                <w:color w:val="000000"/>
                <w:sz w:val="22"/>
                <w:szCs w:val="22"/>
              </w:rPr>
            </w:pPr>
          </w:p>
        </w:tc>
      </w:tr>
      <w:tr w:rsidR="0099599B" w14:paraId="6EE5B37F" w14:textId="77777777">
        <w:trPr>
          <w:trHeight w:val="288"/>
        </w:trPr>
        <w:tc>
          <w:tcPr>
            <w:tcW w:w="3160" w:type="pct"/>
            <w:tcBorders>
              <w:top w:val="nil"/>
              <w:bottom w:val="nil"/>
              <w:right w:val="nil"/>
            </w:tcBorders>
            <w:shd w:val="clear" w:color="auto" w:fill="C6E0B4"/>
            <w:noWrap/>
            <w:vAlign w:val="bottom"/>
          </w:tcPr>
          <w:p w14:paraId="5C672DF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that have left due to climate/environmental changes in last 5 years?</w:t>
            </w:r>
          </w:p>
        </w:tc>
        <w:tc>
          <w:tcPr>
            <w:tcW w:w="1001" w:type="pct"/>
            <w:tcBorders>
              <w:top w:val="nil"/>
              <w:left w:val="nil"/>
              <w:bottom w:val="nil"/>
              <w:right w:val="single" w:sz="4" w:space="0" w:color="auto"/>
            </w:tcBorders>
            <w:noWrap/>
            <w:vAlign w:val="center"/>
          </w:tcPr>
          <w:p w14:paraId="7D5AB46A"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BC8515A" w14:textId="77777777" w:rsidR="0099599B" w:rsidRDefault="0099599B">
            <w:pPr>
              <w:jc w:val="center"/>
              <w:rPr>
                <w:rFonts w:ascii="Calibri" w:hAnsi="Calibri" w:cs="Calibri"/>
                <w:color w:val="000000"/>
                <w:sz w:val="22"/>
                <w:szCs w:val="22"/>
              </w:rPr>
            </w:pPr>
          </w:p>
        </w:tc>
      </w:tr>
      <w:tr w:rsidR="0099599B" w14:paraId="1EC3E787" w14:textId="77777777">
        <w:trPr>
          <w:trHeight w:val="288"/>
        </w:trPr>
        <w:tc>
          <w:tcPr>
            <w:tcW w:w="3160" w:type="pct"/>
            <w:tcBorders>
              <w:top w:val="nil"/>
              <w:bottom w:val="nil"/>
              <w:right w:val="nil"/>
            </w:tcBorders>
            <w:shd w:val="clear" w:color="auto" w:fill="C6E0B4"/>
            <w:noWrap/>
            <w:vAlign w:val="bottom"/>
          </w:tcPr>
          <w:p w14:paraId="7D240C1D"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Interested in agricultural insurance but cannot afford</w:t>
            </w:r>
          </w:p>
        </w:tc>
        <w:tc>
          <w:tcPr>
            <w:tcW w:w="1001" w:type="pct"/>
            <w:tcBorders>
              <w:top w:val="nil"/>
              <w:left w:val="nil"/>
              <w:bottom w:val="nil"/>
              <w:right w:val="single" w:sz="4" w:space="0" w:color="auto"/>
            </w:tcBorders>
            <w:noWrap/>
            <w:vAlign w:val="center"/>
          </w:tcPr>
          <w:p w14:paraId="6AF1B3D6"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58D09F5" w14:textId="77777777" w:rsidR="0099599B" w:rsidRDefault="0099599B">
            <w:pPr>
              <w:jc w:val="center"/>
              <w:rPr>
                <w:rFonts w:ascii="Calibri" w:hAnsi="Calibri" w:cs="Calibri"/>
                <w:color w:val="000000"/>
                <w:sz w:val="22"/>
                <w:szCs w:val="22"/>
              </w:rPr>
            </w:pPr>
          </w:p>
        </w:tc>
      </w:tr>
      <w:tr w:rsidR="0099599B" w14:paraId="0C865721" w14:textId="77777777">
        <w:trPr>
          <w:trHeight w:val="288"/>
        </w:trPr>
        <w:tc>
          <w:tcPr>
            <w:tcW w:w="3160" w:type="pct"/>
            <w:tcBorders>
              <w:top w:val="nil"/>
              <w:bottom w:val="single" w:sz="4" w:space="0" w:color="auto"/>
              <w:right w:val="nil"/>
            </w:tcBorders>
            <w:shd w:val="clear" w:color="auto" w:fill="C6E0B4"/>
            <w:noWrap/>
            <w:vAlign w:val="bottom"/>
          </w:tcPr>
          <w:p w14:paraId="5C95F29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Not suscribed to agricultural insurance</w:t>
            </w:r>
          </w:p>
        </w:tc>
        <w:tc>
          <w:tcPr>
            <w:tcW w:w="1001" w:type="pct"/>
            <w:tcBorders>
              <w:top w:val="nil"/>
              <w:left w:val="nil"/>
              <w:bottom w:val="single" w:sz="4" w:space="0" w:color="auto"/>
              <w:right w:val="single" w:sz="4" w:space="0" w:color="auto"/>
            </w:tcBorders>
            <w:noWrap/>
            <w:vAlign w:val="center"/>
          </w:tcPr>
          <w:p w14:paraId="7F8989A9"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A7318AC" w14:textId="77777777" w:rsidR="0099599B" w:rsidRDefault="0099599B">
            <w:pPr>
              <w:jc w:val="center"/>
              <w:rPr>
                <w:rFonts w:ascii="Calibri" w:hAnsi="Calibri" w:cs="Calibri"/>
                <w:color w:val="000000"/>
                <w:sz w:val="22"/>
                <w:szCs w:val="22"/>
              </w:rPr>
            </w:pPr>
          </w:p>
        </w:tc>
      </w:tr>
      <w:tr w:rsidR="0099599B" w14:paraId="795E598D" w14:textId="77777777">
        <w:trPr>
          <w:trHeight w:val="288"/>
        </w:trPr>
        <w:tc>
          <w:tcPr>
            <w:tcW w:w="3160" w:type="pct"/>
            <w:tcBorders>
              <w:top w:val="single" w:sz="4" w:space="0" w:color="auto"/>
              <w:bottom w:val="nil"/>
              <w:right w:val="nil"/>
            </w:tcBorders>
            <w:shd w:val="clear" w:color="auto" w:fill="A9D08E"/>
            <w:noWrap/>
            <w:vAlign w:val="bottom"/>
          </w:tcPr>
          <w:p w14:paraId="18C93BE5"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Respondents not part of any social group</w:t>
            </w:r>
          </w:p>
        </w:tc>
        <w:tc>
          <w:tcPr>
            <w:tcW w:w="1001" w:type="pct"/>
            <w:tcBorders>
              <w:top w:val="single" w:sz="4" w:space="0" w:color="auto"/>
              <w:left w:val="nil"/>
              <w:bottom w:val="nil"/>
              <w:right w:val="single" w:sz="4" w:space="0" w:color="auto"/>
            </w:tcBorders>
            <w:noWrap/>
            <w:vAlign w:val="center"/>
          </w:tcPr>
          <w:p w14:paraId="7B0B8ECA"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Social network</w:t>
            </w:r>
          </w:p>
        </w:tc>
        <w:tc>
          <w:tcPr>
            <w:tcW w:w="838" w:type="pct"/>
            <w:vMerge/>
            <w:tcBorders>
              <w:top w:val="nil"/>
              <w:left w:val="single" w:sz="4" w:space="0" w:color="auto"/>
              <w:bottom w:val="nil"/>
            </w:tcBorders>
            <w:noWrap/>
            <w:vAlign w:val="center"/>
          </w:tcPr>
          <w:p w14:paraId="0571C9FB" w14:textId="77777777" w:rsidR="0099599B" w:rsidRDefault="0099599B">
            <w:pPr>
              <w:jc w:val="center"/>
              <w:rPr>
                <w:rFonts w:ascii="Calibri" w:hAnsi="Calibri" w:cs="Calibri"/>
                <w:color w:val="000000"/>
                <w:sz w:val="22"/>
                <w:szCs w:val="22"/>
              </w:rPr>
            </w:pPr>
          </w:p>
        </w:tc>
      </w:tr>
      <w:tr w:rsidR="0099599B" w14:paraId="41A7CFA4" w14:textId="77777777">
        <w:trPr>
          <w:trHeight w:val="288"/>
        </w:trPr>
        <w:tc>
          <w:tcPr>
            <w:tcW w:w="3160" w:type="pct"/>
            <w:tcBorders>
              <w:top w:val="nil"/>
              <w:bottom w:val="nil"/>
              <w:right w:val="nil"/>
            </w:tcBorders>
            <w:shd w:val="clear" w:color="auto" w:fill="A9D08E"/>
            <w:noWrap/>
            <w:vAlign w:val="bottom"/>
          </w:tcPr>
          <w:p w14:paraId="339E7F58"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Not aware of any gender association or organisation in their community</w:t>
            </w:r>
          </w:p>
        </w:tc>
        <w:tc>
          <w:tcPr>
            <w:tcW w:w="1001" w:type="pct"/>
            <w:tcBorders>
              <w:top w:val="nil"/>
              <w:left w:val="nil"/>
              <w:bottom w:val="nil"/>
              <w:right w:val="single" w:sz="4" w:space="0" w:color="auto"/>
            </w:tcBorders>
            <w:noWrap/>
            <w:vAlign w:val="center"/>
          </w:tcPr>
          <w:p w14:paraId="62881607"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9C1FA30" w14:textId="77777777" w:rsidR="0099599B" w:rsidRDefault="0099599B">
            <w:pPr>
              <w:jc w:val="center"/>
              <w:rPr>
                <w:rFonts w:ascii="Calibri" w:hAnsi="Calibri" w:cs="Calibri"/>
                <w:color w:val="000000"/>
                <w:sz w:val="22"/>
                <w:szCs w:val="22"/>
              </w:rPr>
            </w:pPr>
          </w:p>
        </w:tc>
      </w:tr>
      <w:tr w:rsidR="0099599B" w14:paraId="026E6982" w14:textId="77777777">
        <w:trPr>
          <w:trHeight w:val="288"/>
        </w:trPr>
        <w:tc>
          <w:tcPr>
            <w:tcW w:w="3160" w:type="pct"/>
            <w:tcBorders>
              <w:top w:val="nil"/>
              <w:bottom w:val="nil"/>
              <w:right w:val="nil"/>
            </w:tcBorders>
            <w:shd w:val="clear" w:color="auto" w:fill="A9D08E"/>
            <w:noWrap/>
            <w:vAlign w:val="bottom"/>
          </w:tcPr>
          <w:p w14:paraId="5DD59600"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 of communities without there any gender  related government social interventions (e.g.,   LEAP, s </w:t>
            </w:r>
          </w:p>
        </w:tc>
        <w:tc>
          <w:tcPr>
            <w:tcW w:w="1001" w:type="pct"/>
            <w:tcBorders>
              <w:top w:val="nil"/>
              <w:left w:val="nil"/>
              <w:bottom w:val="nil"/>
              <w:right w:val="single" w:sz="4" w:space="0" w:color="auto"/>
            </w:tcBorders>
            <w:noWrap/>
            <w:vAlign w:val="center"/>
          </w:tcPr>
          <w:p w14:paraId="65E86C84"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0980116" w14:textId="77777777" w:rsidR="0099599B" w:rsidRDefault="0099599B">
            <w:pPr>
              <w:jc w:val="center"/>
              <w:rPr>
                <w:rFonts w:ascii="Calibri" w:hAnsi="Calibri" w:cs="Calibri"/>
                <w:color w:val="000000"/>
                <w:sz w:val="22"/>
                <w:szCs w:val="22"/>
              </w:rPr>
            </w:pPr>
          </w:p>
        </w:tc>
      </w:tr>
      <w:tr w:rsidR="0099599B" w14:paraId="1366EF2D" w14:textId="77777777">
        <w:trPr>
          <w:trHeight w:val="288"/>
        </w:trPr>
        <w:tc>
          <w:tcPr>
            <w:tcW w:w="3160" w:type="pct"/>
            <w:tcBorders>
              <w:top w:val="nil"/>
              <w:bottom w:val="nil"/>
              <w:right w:val="nil"/>
            </w:tcBorders>
            <w:shd w:val="clear" w:color="auto" w:fill="A9D08E"/>
            <w:noWrap/>
            <w:vAlign w:val="bottom"/>
          </w:tcPr>
          <w:p w14:paraId="60D262C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who have never received support from any Research and Development Institution</w:t>
            </w:r>
          </w:p>
        </w:tc>
        <w:tc>
          <w:tcPr>
            <w:tcW w:w="1001" w:type="pct"/>
            <w:tcBorders>
              <w:top w:val="nil"/>
              <w:left w:val="nil"/>
              <w:bottom w:val="nil"/>
              <w:right w:val="single" w:sz="4" w:space="0" w:color="auto"/>
            </w:tcBorders>
            <w:noWrap/>
            <w:vAlign w:val="center"/>
          </w:tcPr>
          <w:p w14:paraId="0223B813"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F59643B" w14:textId="77777777" w:rsidR="0099599B" w:rsidRDefault="0099599B">
            <w:pPr>
              <w:jc w:val="center"/>
              <w:rPr>
                <w:rFonts w:ascii="Calibri" w:hAnsi="Calibri" w:cs="Calibri"/>
                <w:color w:val="000000"/>
                <w:sz w:val="22"/>
                <w:szCs w:val="22"/>
              </w:rPr>
            </w:pPr>
          </w:p>
        </w:tc>
      </w:tr>
      <w:tr w:rsidR="0099599B" w14:paraId="177DA71E" w14:textId="77777777">
        <w:trPr>
          <w:trHeight w:val="288"/>
        </w:trPr>
        <w:tc>
          <w:tcPr>
            <w:tcW w:w="3160" w:type="pct"/>
            <w:tcBorders>
              <w:top w:val="nil"/>
              <w:bottom w:val="nil"/>
              <w:right w:val="nil"/>
            </w:tcBorders>
            <w:shd w:val="clear" w:color="auto" w:fill="A9D08E"/>
            <w:noWrap/>
            <w:vAlign w:val="bottom"/>
          </w:tcPr>
          <w:p w14:paraId="6EF23D41"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lastRenderedPageBreak/>
              <w:t>% who have never received support from any NGO or CSO</w:t>
            </w:r>
          </w:p>
        </w:tc>
        <w:tc>
          <w:tcPr>
            <w:tcW w:w="1001" w:type="pct"/>
            <w:tcBorders>
              <w:top w:val="nil"/>
              <w:left w:val="nil"/>
              <w:bottom w:val="nil"/>
              <w:right w:val="single" w:sz="4" w:space="0" w:color="auto"/>
            </w:tcBorders>
            <w:noWrap/>
            <w:vAlign w:val="center"/>
          </w:tcPr>
          <w:p w14:paraId="5E24D162"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58196A9" w14:textId="77777777" w:rsidR="0099599B" w:rsidRDefault="0099599B">
            <w:pPr>
              <w:jc w:val="center"/>
              <w:rPr>
                <w:rFonts w:ascii="Calibri" w:hAnsi="Calibri" w:cs="Calibri"/>
                <w:color w:val="000000"/>
                <w:sz w:val="22"/>
                <w:szCs w:val="22"/>
              </w:rPr>
            </w:pPr>
          </w:p>
        </w:tc>
      </w:tr>
      <w:tr w:rsidR="0099599B" w14:paraId="16C3F964" w14:textId="77777777">
        <w:trPr>
          <w:trHeight w:val="288"/>
        </w:trPr>
        <w:tc>
          <w:tcPr>
            <w:tcW w:w="3160" w:type="pct"/>
            <w:tcBorders>
              <w:top w:val="nil"/>
              <w:bottom w:val="nil"/>
              <w:right w:val="nil"/>
            </w:tcBorders>
            <w:shd w:val="clear" w:color="auto" w:fill="A9D08E"/>
            <w:noWrap/>
            <w:vAlign w:val="bottom"/>
          </w:tcPr>
          <w:p w14:paraId="4A80D595"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who have never received support from any Government Organisation</w:t>
            </w:r>
          </w:p>
        </w:tc>
        <w:tc>
          <w:tcPr>
            <w:tcW w:w="1001" w:type="pct"/>
            <w:tcBorders>
              <w:top w:val="nil"/>
              <w:left w:val="nil"/>
              <w:bottom w:val="nil"/>
              <w:right w:val="single" w:sz="4" w:space="0" w:color="auto"/>
            </w:tcBorders>
            <w:noWrap/>
            <w:vAlign w:val="center"/>
          </w:tcPr>
          <w:p w14:paraId="4B8E8AFF"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677389F" w14:textId="77777777" w:rsidR="0099599B" w:rsidRDefault="0099599B">
            <w:pPr>
              <w:jc w:val="center"/>
              <w:rPr>
                <w:rFonts w:ascii="Calibri" w:hAnsi="Calibri" w:cs="Calibri"/>
                <w:color w:val="000000"/>
                <w:sz w:val="22"/>
                <w:szCs w:val="22"/>
              </w:rPr>
            </w:pPr>
          </w:p>
        </w:tc>
      </w:tr>
      <w:tr w:rsidR="0099599B" w14:paraId="4C7A7605" w14:textId="77777777">
        <w:trPr>
          <w:trHeight w:val="288"/>
        </w:trPr>
        <w:tc>
          <w:tcPr>
            <w:tcW w:w="3160" w:type="pct"/>
            <w:tcBorders>
              <w:top w:val="nil"/>
              <w:bottom w:val="nil"/>
              <w:right w:val="nil"/>
            </w:tcBorders>
            <w:shd w:val="clear" w:color="auto" w:fill="A9D08E"/>
            <w:noWrap/>
            <w:vAlign w:val="bottom"/>
          </w:tcPr>
          <w:p w14:paraId="77432BB2"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credit</w:t>
            </w:r>
          </w:p>
        </w:tc>
        <w:tc>
          <w:tcPr>
            <w:tcW w:w="1001" w:type="pct"/>
            <w:tcBorders>
              <w:top w:val="nil"/>
              <w:left w:val="nil"/>
              <w:bottom w:val="nil"/>
              <w:right w:val="single" w:sz="4" w:space="0" w:color="auto"/>
            </w:tcBorders>
            <w:noWrap/>
            <w:vAlign w:val="center"/>
          </w:tcPr>
          <w:p w14:paraId="66F0389C"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8B896B5" w14:textId="77777777" w:rsidR="0099599B" w:rsidRDefault="0099599B">
            <w:pPr>
              <w:jc w:val="center"/>
              <w:rPr>
                <w:rFonts w:ascii="Calibri" w:hAnsi="Calibri" w:cs="Calibri"/>
                <w:color w:val="000000"/>
                <w:sz w:val="22"/>
                <w:szCs w:val="22"/>
              </w:rPr>
            </w:pPr>
          </w:p>
        </w:tc>
      </w:tr>
      <w:tr w:rsidR="0099599B" w14:paraId="4A3C6F1E" w14:textId="77777777">
        <w:trPr>
          <w:trHeight w:val="288"/>
        </w:trPr>
        <w:tc>
          <w:tcPr>
            <w:tcW w:w="3160" w:type="pct"/>
            <w:tcBorders>
              <w:top w:val="nil"/>
              <w:bottom w:val="nil"/>
              <w:right w:val="nil"/>
            </w:tcBorders>
            <w:shd w:val="clear" w:color="auto" w:fill="A9D08E"/>
            <w:noWrap/>
            <w:vAlign w:val="bottom"/>
          </w:tcPr>
          <w:p w14:paraId="110E769C"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remittances from family or friends</w:t>
            </w:r>
          </w:p>
        </w:tc>
        <w:tc>
          <w:tcPr>
            <w:tcW w:w="1001" w:type="pct"/>
            <w:tcBorders>
              <w:top w:val="nil"/>
              <w:left w:val="nil"/>
              <w:bottom w:val="nil"/>
              <w:right w:val="single" w:sz="4" w:space="0" w:color="auto"/>
            </w:tcBorders>
            <w:noWrap/>
            <w:vAlign w:val="center"/>
          </w:tcPr>
          <w:p w14:paraId="72E8FB83"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F05BD4F" w14:textId="77777777" w:rsidR="0099599B" w:rsidRDefault="0099599B">
            <w:pPr>
              <w:jc w:val="center"/>
              <w:rPr>
                <w:rFonts w:ascii="Calibri" w:hAnsi="Calibri" w:cs="Calibri"/>
                <w:color w:val="000000"/>
                <w:sz w:val="22"/>
                <w:szCs w:val="22"/>
              </w:rPr>
            </w:pPr>
          </w:p>
        </w:tc>
      </w:tr>
      <w:tr w:rsidR="0099599B" w14:paraId="621E88D5" w14:textId="77777777">
        <w:trPr>
          <w:trHeight w:val="288"/>
        </w:trPr>
        <w:tc>
          <w:tcPr>
            <w:tcW w:w="3160" w:type="pct"/>
            <w:tcBorders>
              <w:top w:val="nil"/>
              <w:bottom w:val="nil"/>
              <w:right w:val="nil"/>
            </w:tcBorders>
            <w:shd w:val="clear" w:color="auto" w:fill="A9D08E"/>
            <w:noWrap/>
            <w:vAlign w:val="bottom"/>
          </w:tcPr>
          <w:p w14:paraId="0B7FAFA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subsidies</w:t>
            </w:r>
          </w:p>
        </w:tc>
        <w:tc>
          <w:tcPr>
            <w:tcW w:w="1001" w:type="pct"/>
            <w:tcBorders>
              <w:top w:val="nil"/>
              <w:left w:val="nil"/>
              <w:bottom w:val="nil"/>
              <w:right w:val="single" w:sz="4" w:space="0" w:color="auto"/>
            </w:tcBorders>
            <w:noWrap/>
            <w:vAlign w:val="center"/>
          </w:tcPr>
          <w:p w14:paraId="3C81BC9C"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82D6F95" w14:textId="77777777" w:rsidR="0099599B" w:rsidRDefault="0099599B">
            <w:pPr>
              <w:jc w:val="center"/>
              <w:rPr>
                <w:rFonts w:ascii="Calibri" w:hAnsi="Calibri" w:cs="Calibri"/>
                <w:color w:val="000000"/>
                <w:sz w:val="22"/>
                <w:szCs w:val="22"/>
              </w:rPr>
            </w:pPr>
          </w:p>
        </w:tc>
      </w:tr>
      <w:tr w:rsidR="0099599B" w14:paraId="1417B6EA" w14:textId="77777777">
        <w:trPr>
          <w:trHeight w:val="288"/>
        </w:trPr>
        <w:tc>
          <w:tcPr>
            <w:tcW w:w="3160" w:type="pct"/>
            <w:tcBorders>
              <w:top w:val="nil"/>
              <w:bottom w:val="nil"/>
              <w:right w:val="nil"/>
            </w:tcBorders>
            <w:shd w:val="clear" w:color="auto" w:fill="A9D08E"/>
            <w:noWrap/>
            <w:vAlign w:val="bottom"/>
          </w:tcPr>
          <w:p w14:paraId="48744E30"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not associated with any Farmer Based Organization (FBO)</w:t>
            </w:r>
          </w:p>
        </w:tc>
        <w:tc>
          <w:tcPr>
            <w:tcW w:w="1001" w:type="pct"/>
            <w:tcBorders>
              <w:top w:val="nil"/>
              <w:left w:val="nil"/>
              <w:bottom w:val="nil"/>
              <w:right w:val="single" w:sz="4" w:space="0" w:color="auto"/>
            </w:tcBorders>
            <w:noWrap/>
            <w:vAlign w:val="center"/>
          </w:tcPr>
          <w:p w14:paraId="30E8561D"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C3C65BC" w14:textId="77777777" w:rsidR="0099599B" w:rsidRDefault="0099599B">
            <w:pPr>
              <w:jc w:val="center"/>
              <w:rPr>
                <w:rFonts w:ascii="Calibri" w:hAnsi="Calibri" w:cs="Calibri"/>
                <w:color w:val="000000"/>
                <w:sz w:val="22"/>
                <w:szCs w:val="22"/>
              </w:rPr>
            </w:pPr>
          </w:p>
        </w:tc>
      </w:tr>
      <w:tr w:rsidR="0099599B" w14:paraId="3C6320E8" w14:textId="77777777">
        <w:trPr>
          <w:trHeight w:val="288"/>
        </w:trPr>
        <w:tc>
          <w:tcPr>
            <w:tcW w:w="3160" w:type="pct"/>
            <w:tcBorders>
              <w:top w:val="nil"/>
              <w:bottom w:val="nil"/>
              <w:right w:val="nil"/>
            </w:tcBorders>
            <w:shd w:val="clear" w:color="auto" w:fill="A9D08E"/>
            <w:noWrap/>
            <w:vAlign w:val="bottom"/>
          </w:tcPr>
          <w:p w14:paraId="6CD0EBC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not associated with any Agriculture Extention Agent (AEA)</w:t>
            </w:r>
          </w:p>
        </w:tc>
        <w:tc>
          <w:tcPr>
            <w:tcW w:w="1001" w:type="pct"/>
            <w:tcBorders>
              <w:top w:val="nil"/>
              <w:left w:val="nil"/>
              <w:bottom w:val="nil"/>
              <w:right w:val="single" w:sz="4" w:space="0" w:color="auto"/>
            </w:tcBorders>
            <w:noWrap/>
            <w:vAlign w:val="center"/>
          </w:tcPr>
          <w:p w14:paraId="25F1F0AF"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DAB36D3" w14:textId="77777777" w:rsidR="0099599B" w:rsidRDefault="0099599B">
            <w:pPr>
              <w:jc w:val="center"/>
              <w:rPr>
                <w:rFonts w:ascii="Calibri" w:hAnsi="Calibri" w:cs="Calibri"/>
                <w:color w:val="000000"/>
                <w:sz w:val="22"/>
                <w:szCs w:val="22"/>
              </w:rPr>
            </w:pPr>
          </w:p>
        </w:tc>
      </w:tr>
      <w:tr w:rsidR="0099599B" w14:paraId="435B4DDB" w14:textId="77777777">
        <w:trPr>
          <w:trHeight w:val="288"/>
        </w:trPr>
        <w:tc>
          <w:tcPr>
            <w:tcW w:w="3160" w:type="pct"/>
            <w:tcBorders>
              <w:top w:val="nil"/>
              <w:bottom w:val="nil"/>
              <w:right w:val="nil"/>
            </w:tcBorders>
            <w:shd w:val="clear" w:color="auto" w:fill="A9D08E"/>
            <w:noWrap/>
            <w:vAlign w:val="bottom"/>
          </w:tcPr>
          <w:p w14:paraId="41F23F78"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without irrigation (rainfall dependent)</w:t>
            </w:r>
          </w:p>
        </w:tc>
        <w:tc>
          <w:tcPr>
            <w:tcW w:w="1001" w:type="pct"/>
            <w:tcBorders>
              <w:top w:val="nil"/>
              <w:left w:val="nil"/>
              <w:bottom w:val="nil"/>
              <w:right w:val="single" w:sz="4" w:space="0" w:color="auto"/>
            </w:tcBorders>
            <w:noWrap/>
            <w:vAlign w:val="center"/>
          </w:tcPr>
          <w:p w14:paraId="0579BA9C"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9F8A83F" w14:textId="77777777" w:rsidR="0099599B" w:rsidRDefault="0099599B">
            <w:pPr>
              <w:jc w:val="center"/>
              <w:rPr>
                <w:rFonts w:ascii="Calibri" w:hAnsi="Calibri" w:cs="Calibri"/>
                <w:color w:val="000000"/>
                <w:sz w:val="22"/>
                <w:szCs w:val="22"/>
              </w:rPr>
            </w:pPr>
          </w:p>
        </w:tc>
      </w:tr>
      <w:tr w:rsidR="0099599B" w14:paraId="5194FFA4" w14:textId="77777777">
        <w:trPr>
          <w:trHeight w:val="288"/>
        </w:trPr>
        <w:tc>
          <w:tcPr>
            <w:tcW w:w="3160" w:type="pct"/>
            <w:tcBorders>
              <w:top w:val="nil"/>
              <w:bottom w:val="nil"/>
              <w:right w:val="nil"/>
            </w:tcBorders>
            <w:shd w:val="clear" w:color="auto" w:fill="A9D08E"/>
            <w:noWrap/>
            <w:vAlign w:val="bottom"/>
          </w:tcPr>
          <w:p w14:paraId="20C6A3A7"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without access to information on production methods and systems</w:t>
            </w:r>
          </w:p>
        </w:tc>
        <w:tc>
          <w:tcPr>
            <w:tcW w:w="1001" w:type="pct"/>
            <w:tcBorders>
              <w:top w:val="nil"/>
              <w:left w:val="nil"/>
              <w:bottom w:val="nil"/>
              <w:right w:val="single" w:sz="4" w:space="0" w:color="auto"/>
            </w:tcBorders>
            <w:noWrap/>
            <w:vAlign w:val="center"/>
          </w:tcPr>
          <w:p w14:paraId="7F80F004"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084CC0E" w14:textId="77777777" w:rsidR="0099599B" w:rsidRDefault="0099599B">
            <w:pPr>
              <w:jc w:val="center"/>
              <w:rPr>
                <w:rFonts w:ascii="Calibri" w:hAnsi="Calibri" w:cs="Calibri"/>
                <w:color w:val="000000"/>
                <w:sz w:val="22"/>
                <w:szCs w:val="22"/>
              </w:rPr>
            </w:pPr>
          </w:p>
        </w:tc>
      </w:tr>
      <w:tr w:rsidR="0099599B" w14:paraId="77FB39E8" w14:textId="77777777">
        <w:trPr>
          <w:trHeight w:val="288"/>
        </w:trPr>
        <w:tc>
          <w:tcPr>
            <w:tcW w:w="3160" w:type="pct"/>
            <w:tcBorders>
              <w:top w:val="nil"/>
              <w:bottom w:val="nil"/>
              <w:right w:val="nil"/>
            </w:tcBorders>
            <w:shd w:val="clear" w:color="auto" w:fill="A9D08E"/>
            <w:noWrap/>
            <w:vAlign w:val="bottom"/>
          </w:tcPr>
          <w:p w14:paraId="5C200627"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knowledge about agricultural insurance</w:t>
            </w:r>
          </w:p>
        </w:tc>
        <w:tc>
          <w:tcPr>
            <w:tcW w:w="1001" w:type="pct"/>
            <w:tcBorders>
              <w:top w:val="nil"/>
              <w:left w:val="nil"/>
              <w:bottom w:val="nil"/>
              <w:right w:val="single" w:sz="4" w:space="0" w:color="auto"/>
            </w:tcBorders>
            <w:noWrap/>
            <w:vAlign w:val="center"/>
          </w:tcPr>
          <w:p w14:paraId="5398DC42"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A46C4DE" w14:textId="77777777" w:rsidR="0099599B" w:rsidRDefault="0099599B">
            <w:pPr>
              <w:jc w:val="center"/>
              <w:rPr>
                <w:rFonts w:ascii="Calibri" w:hAnsi="Calibri" w:cs="Calibri"/>
                <w:color w:val="000000"/>
                <w:sz w:val="22"/>
                <w:szCs w:val="22"/>
              </w:rPr>
            </w:pPr>
          </w:p>
        </w:tc>
      </w:tr>
      <w:tr w:rsidR="0099599B" w14:paraId="574EB45E" w14:textId="77777777">
        <w:trPr>
          <w:trHeight w:val="288"/>
        </w:trPr>
        <w:tc>
          <w:tcPr>
            <w:tcW w:w="3160" w:type="pct"/>
            <w:tcBorders>
              <w:top w:val="nil"/>
              <w:bottom w:val="single" w:sz="4" w:space="0" w:color="auto"/>
              <w:right w:val="nil"/>
            </w:tcBorders>
            <w:shd w:val="clear" w:color="auto" w:fill="A9D08E"/>
            <w:noWrap/>
            <w:vAlign w:val="bottom"/>
          </w:tcPr>
          <w:p w14:paraId="7BE9817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Size of farm (acres)</w:t>
            </w:r>
          </w:p>
        </w:tc>
        <w:tc>
          <w:tcPr>
            <w:tcW w:w="1001" w:type="pct"/>
            <w:tcBorders>
              <w:top w:val="nil"/>
              <w:left w:val="nil"/>
              <w:bottom w:val="single" w:sz="4" w:space="0" w:color="auto"/>
              <w:right w:val="single" w:sz="4" w:space="0" w:color="auto"/>
            </w:tcBorders>
            <w:noWrap/>
            <w:vAlign w:val="center"/>
          </w:tcPr>
          <w:p w14:paraId="4819EE0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5CD7D5A" w14:textId="77777777" w:rsidR="0099599B" w:rsidRDefault="0099599B">
            <w:pPr>
              <w:jc w:val="center"/>
              <w:rPr>
                <w:rFonts w:ascii="Calibri" w:hAnsi="Calibri" w:cs="Calibri"/>
                <w:color w:val="000000"/>
                <w:sz w:val="22"/>
                <w:szCs w:val="22"/>
              </w:rPr>
            </w:pPr>
          </w:p>
        </w:tc>
      </w:tr>
      <w:tr w:rsidR="0099599B" w14:paraId="48B17E2E" w14:textId="77777777">
        <w:trPr>
          <w:trHeight w:val="288"/>
        </w:trPr>
        <w:tc>
          <w:tcPr>
            <w:tcW w:w="3160" w:type="pct"/>
            <w:tcBorders>
              <w:top w:val="single" w:sz="4" w:space="0" w:color="auto"/>
              <w:bottom w:val="single" w:sz="4" w:space="0" w:color="auto"/>
              <w:right w:val="nil"/>
            </w:tcBorders>
            <w:shd w:val="clear" w:color="auto" w:fill="FFC000"/>
            <w:noWrap/>
            <w:vAlign w:val="center"/>
          </w:tcPr>
          <w:p w14:paraId="016A6FB7" w14:textId="77777777" w:rsidR="0099599B" w:rsidRDefault="0099599B">
            <w:pPr>
              <w:rPr>
                <w:rFonts w:ascii="Calibri" w:hAnsi="Calibri" w:cs="Calibri"/>
                <w:color w:val="000000"/>
                <w:sz w:val="22"/>
                <w:szCs w:val="22"/>
              </w:rPr>
            </w:pPr>
          </w:p>
        </w:tc>
        <w:tc>
          <w:tcPr>
            <w:tcW w:w="1001" w:type="pct"/>
            <w:tcBorders>
              <w:top w:val="single" w:sz="4" w:space="0" w:color="auto"/>
              <w:left w:val="nil"/>
              <w:bottom w:val="single" w:sz="4" w:space="0" w:color="auto"/>
              <w:right w:val="single" w:sz="4" w:space="0" w:color="auto"/>
            </w:tcBorders>
            <w:noWrap/>
            <w:vAlign w:val="center"/>
          </w:tcPr>
          <w:p w14:paraId="6B4C72BB" w14:textId="77777777" w:rsidR="0099599B" w:rsidRDefault="0099599B">
            <w:pPr>
              <w:rPr>
                <w:rFonts w:ascii="Calibri" w:hAnsi="Calibri" w:cs="Calibri"/>
                <w:color w:val="000000"/>
                <w:sz w:val="22"/>
                <w:szCs w:val="22"/>
              </w:rPr>
            </w:pPr>
          </w:p>
        </w:tc>
        <w:tc>
          <w:tcPr>
            <w:tcW w:w="838" w:type="pct"/>
            <w:vMerge w:val="restart"/>
            <w:tcBorders>
              <w:top w:val="nil"/>
              <w:left w:val="single" w:sz="4" w:space="0" w:color="auto"/>
              <w:bottom w:val="nil"/>
            </w:tcBorders>
            <w:noWrap/>
            <w:vAlign w:val="center"/>
          </w:tcPr>
          <w:p w14:paraId="6EDA5310" w14:textId="77777777" w:rsidR="0099599B" w:rsidRDefault="00EB7A3F">
            <w:pPr>
              <w:jc w:val="cente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Sensitivity</w:t>
            </w:r>
          </w:p>
        </w:tc>
      </w:tr>
      <w:tr w:rsidR="0099599B" w14:paraId="4E6AC82E" w14:textId="77777777">
        <w:trPr>
          <w:trHeight w:val="288"/>
        </w:trPr>
        <w:tc>
          <w:tcPr>
            <w:tcW w:w="3160" w:type="pct"/>
            <w:tcBorders>
              <w:top w:val="single" w:sz="4" w:space="0" w:color="auto"/>
              <w:bottom w:val="nil"/>
              <w:right w:val="nil"/>
            </w:tcBorders>
            <w:shd w:val="clear" w:color="auto" w:fill="DDEBF7"/>
            <w:noWrap/>
            <w:vAlign w:val="bottom"/>
          </w:tcPr>
          <w:p w14:paraId="5C427DC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 health facility in their communities</w:t>
            </w:r>
          </w:p>
        </w:tc>
        <w:tc>
          <w:tcPr>
            <w:tcW w:w="1001" w:type="pct"/>
            <w:tcBorders>
              <w:top w:val="single" w:sz="4" w:space="0" w:color="auto"/>
              <w:left w:val="nil"/>
              <w:bottom w:val="nil"/>
              <w:right w:val="single" w:sz="4" w:space="0" w:color="auto"/>
            </w:tcBorders>
            <w:noWrap/>
            <w:vAlign w:val="center"/>
          </w:tcPr>
          <w:p w14:paraId="7DE13288"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Health</w:t>
            </w:r>
          </w:p>
        </w:tc>
        <w:tc>
          <w:tcPr>
            <w:tcW w:w="838" w:type="pct"/>
            <w:vMerge/>
            <w:tcBorders>
              <w:top w:val="nil"/>
              <w:left w:val="single" w:sz="4" w:space="0" w:color="auto"/>
              <w:bottom w:val="nil"/>
            </w:tcBorders>
            <w:noWrap/>
            <w:vAlign w:val="center"/>
          </w:tcPr>
          <w:p w14:paraId="435C7E6C" w14:textId="77777777" w:rsidR="0099599B" w:rsidRDefault="0099599B">
            <w:pPr>
              <w:jc w:val="center"/>
              <w:rPr>
                <w:rFonts w:ascii="Calibri" w:hAnsi="Calibri" w:cs="Calibri"/>
                <w:color w:val="000000"/>
                <w:sz w:val="22"/>
                <w:szCs w:val="22"/>
              </w:rPr>
            </w:pPr>
          </w:p>
        </w:tc>
      </w:tr>
      <w:tr w:rsidR="0099599B" w14:paraId="70ED7C34" w14:textId="77777777">
        <w:trPr>
          <w:trHeight w:val="288"/>
        </w:trPr>
        <w:tc>
          <w:tcPr>
            <w:tcW w:w="3160" w:type="pct"/>
            <w:tcBorders>
              <w:top w:val="nil"/>
              <w:bottom w:val="nil"/>
              <w:right w:val="nil"/>
            </w:tcBorders>
            <w:shd w:val="clear" w:color="auto" w:fill="DDEBF7"/>
            <w:noWrap/>
            <w:vAlign w:val="bottom"/>
          </w:tcPr>
          <w:p w14:paraId="718E6978"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Minutes of travel to the nearest health facilities</w:t>
            </w:r>
          </w:p>
        </w:tc>
        <w:tc>
          <w:tcPr>
            <w:tcW w:w="1001" w:type="pct"/>
            <w:tcBorders>
              <w:top w:val="nil"/>
              <w:left w:val="nil"/>
              <w:bottom w:val="nil"/>
              <w:right w:val="single" w:sz="4" w:space="0" w:color="auto"/>
            </w:tcBorders>
            <w:noWrap/>
            <w:vAlign w:val="center"/>
          </w:tcPr>
          <w:p w14:paraId="7F711BD9"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1464C65" w14:textId="77777777" w:rsidR="0099599B" w:rsidRDefault="0099599B">
            <w:pPr>
              <w:jc w:val="center"/>
              <w:rPr>
                <w:rFonts w:ascii="Calibri" w:hAnsi="Calibri" w:cs="Calibri"/>
                <w:color w:val="000000"/>
                <w:sz w:val="22"/>
                <w:szCs w:val="22"/>
              </w:rPr>
            </w:pPr>
          </w:p>
        </w:tc>
      </w:tr>
      <w:tr w:rsidR="0099599B" w14:paraId="362E8C40" w14:textId="77777777">
        <w:trPr>
          <w:trHeight w:val="288"/>
        </w:trPr>
        <w:tc>
          <w:tcPr>
            <w:tcW w:w="3160" w:type="pct"/>
            <w:tcBorders>
              <w:top w:val="nil"/>
              <w:bottom w:val="nil"/>
              <w:right w:val="nil"/>
            </w:tcBorders>
            <w:shd w:val="clear" w:color="auto" w:fill="DDEBF7"/>
            <w:noWrap/>
            <w:vAlign w:val="bottom"/>
          </w:tcPr>
          <w:p w14:paraId="61C2DBF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Number of health facilities in the community</w:t>
            </w:r>
          </w:p>
        </w:tc>
        <w:tc>
          <w:tcPr>
            <w:tcW w:w="1001" w:type="pct"/>
            <w:tcBorders>
              <w:top w:val="nil"/>
              <w:left w:val="nil"/>
              <w:bottom w:val="nil"/>
              <w:right w:val="single" w:sz="4" w:space="0" w:color="auto"/>
            </w:tcBorders>
            <w:noWrap/>
            <w:vAlign w:val="center"/>
          </w:tcPr>
          <w:p w14:paraId="0B7D5CFD"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365099C" w14:textId="77777777" w:rsidR="0099599B" w:rsidRDefault="0099599B">
            <w:pPr>
              <w:jc w:val="center"/>
              <w:rPr>
                <w:rFonts w:ascii="Calibri" w:hAnsi="Calibri" w:cs="Calibri"/>
                <w:color w:val="000000"/>
                <w:sz w:val="22"/>
                <w:szCs w:val="22"/>
              </w:rPr>
            </w:pPr>
          </w:p>
        </w:tc>
      </w:tr>
      <w:tr w:rsidR="0099599B" w14:paraId="72472260" w14:textId="77777777">
        <w:trPr>
          <w:trHeight w:val="288"/>
        </w:trPr>
        <w:tc>
          <w:tcPr>
            <w:tcW w:w="3160" w:type="pct"/>
            <w:tcBorders>
              <w:top w:val="nil"/>
              <w:bottom w:val="nil"/>
              <w:right w:val="nil"/>
            </w:tcBorders>
            <w:shd w:val="clear" w:color="auto" w:fill="DDEBF7"/>
            <w:noWrap/>
            <w:vAlign w:val="bottom"/>
          </w:tcPr>
          <w:p w14:paraId="32C74047"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the NHIS</w:t>
            </w:r>
          </w:p>
        </w:tc>
        <w:tc>
          <w:tcPr>
            <w:tcW w:w="1001" w:type="pct"/>
            <w:tcBorders>
              <w:top w:val="nil"/>
              <w:left w:val="nil"/>
              <w:bottom w:val="nil"/>
              <w:right w:val="single" w:sz="4" w:space="0" w:color="auto"/>
            </w:tcBorders>
            <w:noWrap/>
            <w:vAlign w:val="center"/>
          </w:tcPr>
          <w:p w14:paraId="20F9B325"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65A53A2" w14:textId="77777777" w:rsidR="0099599B" w:rsidRDefault="0099599B">
            <w:pPr>
              <w:jc w:val="center"/>
              <w:rPr>
                <w:rFonts w:ascii="Calibri" w:hAnsi="Calibri" w:cs="Calibri"/>
                <w:color w:val="000000"/>
                <w:sz w:val="22"/>
                <w:szCs w:val="22"/>
              </w:rPr>
            </w:pPr>
          </w:p>
        </w:tc>
      </w:tr>
      <w:tr w:rsidR="0099599B" w14:paraId="1C1B1772" w14:textId="77777777">
        <w:trPr>
          <w:trHeight w:val="288"/>
        </w:trPr>
        <w:tc>
          <w:tcPr>
            <w:tcW w:w="3160" w:type="pct"/>
            <w:tcBorders>
              <w:top w:val="nil"/>
              <w:bottom w:val="nil"/>
              <w:right w:val="nil"/>
            </w:tcBorders>
            <w:shd w:val="clear" w:color="auto" w:fill="DDEBF7"/>
            <w:noWrap/>
            <w:vAlign w:val="bottom"/>
          </w:tcPr>
          <w:p w14:paraId="2DFEA361"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Households where a member missed work/school due to illness</w:t>
            </w:r>
          </w:p>
        </w:tc>
        <w:tc>
          <w:tcPr>
            <w:tcW w:w="1001" w:type="pct"/>
            <w:tcBorders>
              <w:top w:val="nil"/>
              <w:left w:val="nil"/>
              <w:bottom w:val="nil"/>
              <w:right w:val="single" w:sz="4" w:space="0" w:color="auto"/>
            </w:tcBorders>
            <w:noWrap/>
            <w:vAlign w:val="center"/>
          </w:tcPr>
          <w:p w14:paraId="1CCE864C"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A02E515" w14:textId="77777777" w:rsidR="0099599B" w:rsidRDefault="0099599B">
            <w:pPr>
              <w:jc w:val="center"/>
              <w:rPr>
                <w:rFonts w:ascii="Calibri" w:hAnsi="Calibri" w:cs="Calibri"/>
                <w:color w:val="000000"/>
                <w:sz w:val="22"/>
                <w:szCs w:val="22"/>
              </w:rPr>
            </w:pPr>
          </w:p>
        </w:tc>
      </w:tr>
      <w:tr w:rsidR="0099599B" w14:paraId="682E2B6B" w14:textId="77777777">
        <w:trPr>
          <w:trHeight w:val="288"/>
        </w:trPr>
        <w:tc>
          <w:tcPr>
            <w:tcW w:w="3160" w:type="pct"/>
            <w:tcBorders>
              <w:top w:val="nil"/>
              <w:bottom w:val="nil"/>
              <w:right w:val="nil"/>
            </w:tcBorders>
            <w:shd w:val="clear" w:color="auto" w:fill="DDEBF7"/>
            <w:noWrap/>
            <w:vAlign w:val="bottom"/>
          </w:tcPr>
          <w:p w14:paraId="565F287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safe sanitation services</w:t>
            </w:r>
          </w:p>
        </w:tc>
        <w:tc>
          <w:tcPr>
            <w:tcW w:w="1001" w:type="pct"/>
            <w:tcBorders>
              <w:top w:val="nil"/>
              <w:left w:val="nil"/>
              <w:bottom w:val="nil"/>
              <w:right w:val="single" w:sz="4" w:space="0" w:color="auto"/>
            </w:tcBorders>
            <w:noWrap/>
            <w:vAlign w:val="center"/>
          </w:tcPr>
          <w:p w14:paraId="1BA00B9D"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5EA4A38" w14:textId="77777777" w:rsidR="0099599B" w:rsidRDefault="0099599B">
            <w:pPr>
              <w:jc w:val="center"/>
              <w:rPr>
                <w:rFonts w:ascii="Calibri" w:hAnsi="Calibri" w:cs="Calibri"/>
                <w:color w:val="000000"/>
                <w:sz w:val="22"/>
                <w:szCs w:val="22"/>
              </w:rPr>
            </w:pPr>
          </w:p>
        </w:tc>
      </w:tr>
      <w:tr w:rsidR="0099599B" w14:paraId="248DAF6C" w14:textId="77777777">
        <w:trPr>
          <w:trHeight w:val="288"/>
        </w:trPr>
        <w:tc>
          <w:tcPr>
            <w:tcW w:w="3160" w:type="pct"/>
            <w:tcBorders>
              <w:top w:val="nil"/>
              <w:bottom w:val="nil"/>
              <w:right w:val="nil"/>
            </w:tcBorders>
            <w:shd w:val="clear" w:color="auto" w:fill="DDEBF7"/>
            <w:noWrap/>
            <w:vAlign w:val="bottom"/>
          </w:tcPr>
          <w:p w14:paraId="4E44A959"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Number of public toilet facilitites in the community</w:t>
            </w:r>
          </w:p>
        </w:tc>
        <w:tc>
          <w:tcPr>
            <w:tcW w:w="1001" w:type="pct"/>
            <w:tcBorders>
              <w:top w:val="nil"/>
              <w:left w:val="nil"/>
              <w:bottom w:val="nil"/>
              <w:right w:val="single" w:sz="4" w:space="0" w:color="auto"/>
            </w:tcBorders>
            <w:noWrap/>
            <w:vAlign w:val="center"/>
          </w:tcPr>
          <w:p w14:paraId="3B219060"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1AC92F0" w14:textId="77777777" w:rsidR="0099599B" w:rsidRDefault="0099599B">
            <w:pPr>
              <w:jc w:val="center"/>
              <w:rPr>
                <w:rFonts w:ascii="Calibri" w:hAnsi="Calibri" w:cs="Calibri"/>
                <w:color w:val="000000"/>
                <w:sz w:val="22"/>
                <w:szCs w:val="22"/>
              </w:rPr>
            </w:pPr>
          </w:p>
        </w:tc>
      </w:tr>
      <w:tr w:rsidR="0099599B" w14:paraId="05FA4FA9" w14:textId="77777777">
        <w:trPr>
          <w:trHeight w:val="288"/>
        </w:trPr>
        <w:tc>
          <w:tcPr>
            <w:tcW w:w="3160" w:type="pct"/>
            <w:tcBorders>
              <w:top w:val="nil"/>
              <w:bottom w:val="nil"/>
              <w:right w:val="nil"/>
            </w:tcBorders>
            <w:shd w:val="clear" w:color="auto" w:fill="DDEBF7"/>
            <w:noWrap/>
            <w:vAlign w:val="bottom"/>
          </w:tcPr>
          <w:p w14:paraId="6A8F787B"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training/sensitization on climate related diseases</w:t>
            </w:r>
          </w:p>
        </w:tc>
        <w:tc>
          <w:tcPr>
            <w:tcW w:w="1001" w:type="pct"/>
            <w:tcBorders>
              <w:top w:val="nil"/>
              <w:left w:val="nil"/>
              <w:bottom w:val="nil"/>
              <w:right w:val="single" w:sz="4" w:space="0" w:color="auto"/>
            </w:tcBorders>
            <w:noWrap/>
            <w:vAlign w:val="center"/>
          </w:tcPr>
          <w:p w14:paraId="1D0DF402"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B56A4BA" w14:textId="77777777" w:rsidR="0099599B" w:rsidRDefault="0099599B">
            <w:pPr>
              <w:jc w:val="center"/>
              <w:rPr>
                <w:rFonts w:ascii="Calibri" w:hAnsi="Calibri" w:cs="Calibri"/>
                <w:color w:val="000000"/>
                <w:sz w:val="22"/>
                <w:szCs w:val="22"/>
              </w:rPr>
            </w:pPr>
          </w:p>
        </w:tc>
      </w:tr>
      <w:tr w:rsidR="0099599B" w14:paraId="374EDD5D" w14:textId="77777777">
        <w:trPr>
          <w:trHeight w:val="288"/>
        </w:trPr>
        <w:tc>
          <w:tcPr>
            <w:tcW w:w="3160" w:type="pct"/>
            <w:tcBorders>
              <w:top w:val="nil"/>
              <w:bottom w:val="nil"/>
              <w:right w:val="nil"/>
            </w:tcBorders>
            <w:shd w:val="clear" w:color="auto" w:fill="DDEBF7"/>
            <w:noWrap/>
            <w:vAlign w:val="bottom"/>
          </w:tcPr>
          <w:p w14:paraId="6ECEC2E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 of nearest hospitals that have been affected by floods/storm damage/droughts </w:t>
            </w:r>
          </w:p>
        </w:tc>
        <w:tc>
          <w:tcPr>
            <w:tcW w:w="1001" w:type="pct"/>
            <w:tcBorders>
              <w:top w:val="nil"/>
              <w:left w:val="nil"/>
              <w:bottom w:val="nil"/>
              <w:right w:val="single" w:sz="4" w:space="0" w:color="auto"/>
            </w:tcBorders>
            <w:noWrap/>
            <w:vAlign w:val="center"/>
          </w:tcPr>
          <w:p w14:paraId="0D19420A"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D072CD0" w14:textId="77777777" w:rsidR="0099599B" w:rsidRDefault="0099599B">
            <w:pPr>
              <w:jc w:val="center"/>
              <w:rPr>
                <w:rFonts w:ascii="Calibri" w:hAnsi="Calibri" w:cs="Calibri"/>
                <w:color w:val="000000"/>
                <w:sz w:val="22"/>
                <w:szCs w:val="22"/>
              </w:rPr>
            </w:pPr>
          </w:p>
        </w:tc>
      </w:tr>
      <w:tr w:rsidR="0099599B" w14:paraId="25903C61" w14:textId="77777777">
        <w:trPr>
          <w:trHeight w:val="288"/>
        </w:trPr>
        <w:tc>
          <w:tcPr>
            <w:tcW w:w="3160" w:type="pct"/>
            <w:tcBorders>
              <w:top w:val="nil"/>
              <w:bottom w:val="nil"/>
              <w:right w:val="nil"/>
            </w:tcBorders>
            <w:shd w:val="clear" w:color="auto" w:fill="B4C6E7"/>
            <w:noWrap/>
            <w:vAlign w:val="bottom"/>
          </w:tcPr>
          <w:p w14:paraId="678EFC4B"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whose houses or infrastructure been damanged by flood, erosion or strong winds in the past 5 years</w:t>
            </w:r>
          </w:p>
        </w:tc>
        <w:tc>
          <w:tcPr>
            <w:tcW w:w="1001" w:type="pct"/>
            <w:tcBorders>
              <w:top w:val="nil"/>
              <w:left w:val="nil"/>
              <w:bottom w:val="nil"/>
              <w:right w:val="single" w:sz="4" w:space="0" w:color="auto"/>
            </w:tcBorders>
            <w:noWrap/>
            <w:vAlign w:val="center"/>
          </w:tcPr>
          <w:p w14:paraId="7371BC55"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Infrastructure</w:t>
            </w:r>
          </w:p>
        </w:tc>
        <w:tc>
          <w:tcPr>
            <w:tcW w:w="838" w:type="pct"/>
            <w:vMerge/>
            <w:tcBorders>
              <w:top w:val="nil"/>
              <w:left w:val="single" w:sz="4" w:space="0" w:color="auto"/>
              <w:bottom w:val="nil"/>
            </w:tcBorders>
            <w:noWrap/>
            <w:vAlign w:val="center"/>
          </w:tcPr>
          <w:p w14:paraId="6D530914" w14:textId="77777777" w:rsidR="0099599B" w:rsidRDefault="0099599B">
            <w:pPr>
              <w:jc w:val="center"/>
              <w:rPr>
                <w:rFonts w:ascii="Calibri" w:hAnsi="Calibri" w:cs="Calibri"/>
                <w:color w:val="000000"/>
                <w:sz w:val="22"/>
                <w:szCs w:val="22"/>
              </w:rPr>
            </w:pPr>
          </w:p>
        </w:tc>
      </w:tr>
      <w:tr w:rsidR="0099599B" w14:paraId="1919F105" w14:textId="77777777">
        <w:trPr>
          <w:trHeight w:val="288"/>
        </w:trPr>
        <w:tc>
          <w:tcPr>
            <w:tcW w:w="3160" w:type="pct"/>
            <w:tcBorders>
              <w:top w:val="nil"/>
              <w:bottom w:val="nil"/>
              <w:right w:val="nil"/>
            </w:tcBorders>
            <w:shd w:val="clear" w:color="auto" w:fill="B4C6E7"/>
            <w:noWrap/>
            <w:vAlign w:val="bottom"/>
          </w:tcPr>
          <w:p w14:paraId="29690F4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affected by road block or unusable roads during rains</w:t>
            </w:r>
          </w:p>
        </w:tc>
        <w:tc>
          <w:tcPr>
            <w:tcW w:w="1001" w:type="pct"/>
            <w:tcBorders>
              <w:top w:val="nil"/>
              <w:left w:val="nil"/>
              <w:bottom w:val="nil"/>
              <w:right w:val="single" w:sz="4" w:space="0" w:color="auto"/>
            </w:tcBorders>
            <w:noWrap/>
            <w:vAlign w:val="center"/>
          </w:tcPr>
          <w:p w14:paraId="3E7D1AC6"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078E5EF" w14:textId="77777777" w:rsidR="0099599B" w:rsidRDefault="0099599B">
            <w:pPr>
              <w:jc w:val="center"/>
              <w:rPr>
                <w:rFonts w:ascii="Calibri" w:hAnsi="Calibri" w:cs="Calibri"/>
                <w:color w:val="000000"/>
                <w:sz w:val="22"/>
                <w:szCs w:val="22"/>
              </w:rPr>
            </w:pPr>
          </w:p>
        </w:tc>
      </w:tr>
      <w:tr w:rsidR="0099599B" w14:paraId="2121CEA7" w14:textId="77777777">
        <w:trPr>
          <w:trHeight w:val="288"/>
        </w:trPr>
        <w:tc>
          <w:tcPr>
            <w:tcW w:w="3160" w:type="pct"/>
            <w:tcBorders>
              <w:top w:val="nil"/>
              <w:bottom w:val="nil"/>
              <w:right w:val="nil"/>
            </w:tcBorders>
            <w:shd w:val="clear" w:color="auto" w:fill="B4C6E7"/>
            <w:noWrap/>
            <w:vAlign w:val="bottom"/>
          </w:tcPr>
          <w:p w14:paraId="1340159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lastRenderedPageBreak/>
              <w:t>% without disaster resilient infrastructure</w:t>
            </w:r>
          </w:p>
        </w:tc>
        <w:tc>
          <w:tcPr>
            <w:tcW w:w="1001" w:type="pct"/>
            <w:tcBorders>
              <w:top w:val="nil"/>
              <w:left w:val="nil"/>
              <w:bottom w:val="nil"/>
              <w:right w:val="single" w:sz="4" w:space="0" w:color="auto"/>
            </w:tcBorders>
            <w:noWrap/>
            <w:vAlign w:val="center"/>
          </w:tcPr>
          <w:p w14:paraId="1C886A31"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85E9FB6" w14:textId="77777777" w:rsidR="0099599B" w:rsidRDefault="0099599B">
            <w:pPr>
              <w:jc w:val="center"/>
              <w:rPr>
                <w:rFonts w:ascii="Calibri" w:hAnsi="Calibri" w:cs="Calibri"/>
                <w:color w:val="000000"/>
                <w:sz w:val="22"/>
                <w:szCs w:val="22"/>
              </w:rPr>
            </w:pPr>
          </w:p>
        </w:tc>
      </w:tr>
      <w:tr w:rsidR="0099599B" w14:paraId="1C2B2EB9" w14:textId="77777777">
        <w:trPr>
          <w:trHeight w:val="288"/>
        </w:trPr>
        <w:tc>
          <w:tcPr>
            <w:tcW w:w="3160" w:type="pct"/>
            <w:tcBorders>
              <w:top w:val="nil"/>
              <w:bottom w:val="nil"/>
              <w:right w:val="nil"/>
            </w:tcBorders>
            <w:shd w:val="clear" w:color="auto" w:fill="B4C6E7"/>
            <w:noWrap/>
            <w:vAlign w:val="bottom"/>
          </w:tcPr>
          <w:p w14:paraId="2901A5BA"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ready market</w:t>
            </w:r>
          </w:p>
        </w:tc>
        <w:tc>
          <w:tcPr>
            <w:tcW w:w="1001" w:type="pct"/>
            <w:tcBorders>
              <w:top w:val="nil"/>
              <w:left w:val="nil"/>
              <w:bottom w:val="nil"/>
              <w:right w:val="single" w:sz="4" w:space="0" w:color="auto"/>
            </w:tcBorders>
            <w:noWrap/>
            <w:vAlign w:val="center"/>
          </w:tcPr>
          <w:p w14:paraId="3F3F87DE"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034C2B71" w14:textId="77777777" w:rsidR="0099599B" w:rsidRDefault="0099599B">
            <w:pPr>
              <w:jc w:val="center"/>
              <w:rPr>
                <w:rFonts w:ascii="Calibri" w:hAnsi="Calibri" w:cs="Calibri"/>
                <w:color w:val="000000"/>
                <w:sz w:val="22"/>
                <w:szCs w:val="22"/>
              </w:rPr>
            </w:pPr>
          </w:p>
        </w:tc>
      </w:tr>
      <w:tr w:rsidR="0099599B" w14:paraId="621FF1BA" w14:textId="77777777">
        <w:trPr>
          <w:trHeight w:val="288"/>
        </w:trPr>
        <w:tc>
          <w:tcPr>
            <w:tcW w:w="3160" w:type="pct"/>
            <w:tcBorders>
              <w:top w:val="nil"/>
              <w:bottom w:val="nil"/>
              <w:right w:val="nil"/>
            </w:tcBorders>
            <w:shd w:val="clear" w:color="auto" w:fill="B4C6E7"/>
            <w:noWrap/>
            <w:vAlign w:val="bottom"/>
          </w:tcPr>
          <w:p w14:paraId="3FAC2A2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good road network</w:t>
            </w:r>
          </w:p>
        </w:tc>
        <w:tc>
          <w:tcPr>
            <w:tcW w:w="1001" w:type="pct"/>
            <w:tcBorders>
              <w:top w:val="nil"/>
              <w:left w:val="nil"/>
              <w:bottom w:val="nil"/>
              <w:right w:val="single" w:sz="4" w:space="0" w:color="auto"/>
            </w:tcBorders>
            <w:noWrap/>
            <w:vAlign w:val="center"/>
          </w:tcPr>
          <w:p w14:paraId="4ADAEF51"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C1BD0A4" w14:textId="77777777" w:rsidR="0099599B" w:rsidRDefault="0099599B">
            <w:pPr>
              <w:jc w:val="center"/>
              <w:rPr>
                <w:rFonts w:ascii="Calibri" w:hAnsi="Calibri" w:cs="Calibri"/>
                <w:color w:val="000000"/>
                <w:sz w:val="22"/>
                <w:szCs w:val="22"/>
              </w:rPr>
            </w:pPr>
          </w:p>
        </w:tc>
      </w:tr>
      <w:tr w:rsidR="0099599B" w14:paraId="7C47E26F" w14:textId="77777777">
        <w:trPr>
          <w:trHeight w:val="288"/>
        </w:trPr>
        <w:tc>
          <w:tcPr>
            <w:tcW w:w="3160" w:type="pct"/>
            <w:tcBorders>
              <w:top w:val="nil"/>
              <w:bottom w:val="nil"/>
              <w:right w:val="nil"/>
            </w:tcBorders>
            <w:shd w:val="clear" w:color="auto" w:fill="8EA9DB"/>
            <w:noWrap/>
            <w:vAlign w:val="bottom"/>
          </w:tcPr>
          <w:p w14:paraId="7E8957B7"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 dealing with persistent water source unavailability</w:t>
            </w:r>
          </w:p>
        </w:tc>
        <w:tc>
          <w:tcPr>
            <w:tcW w:w="1001" w:type="pct"/>
            <w:tcBorders>
              <w:top w:val="nil"/>
              <w:left w:val="nil"/>
              <w:bottom w:val="nil"/>
              <w:right w:val="single" w:sz="4" w:space="0" w:color="auto"/>
            </w:tcBorders>
            <w:noWrap/>
            <w:vAlign w:val="center"/>
          </w:tcPr>
          <w:p w14:paraId="75F6FDF0"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Water</w:t>
            </w:r>
          </w:p>
        </w:tc>
        <w:tc>
          <w:tcPr>
            <w:tcW w:w="838" w:type="pct"/>
            <w:vMerge/>
            <w:tcBorders>
              <w:top w:val="nil"/>
              <w:left w:val="single" w:sz="4" w:space="0" w:color="auto"/>
              <w:bottom w:val="nil"/>
            </w:tcBorders>
            <w:noWrap/>
            <w:vAlign w:val="center"/>
          </w:tcPr>
          <w:p w14:paraId="1F78E723" w14:textId="77777777" w:rsidR="0099599B" w:rsidRDefault="0099599B">
            <w:pPr>
              <w:jc w:val="center"/>
              <w:rPr>
                <w:rFonts w:ascii="Calibri" w:hAnsi="Calibri" w:cs="Calibri"/>
                <w:color w:val="000000"/>
                <w:sz w:val="22"/>
                <w:szCs w:val="22"/>
              </w:rPr>
            </w:pPr>
          </w:p>
        </w:tc>
      </w:tr>
      <w:tr w:rsidR="0099599B" w14:paraId="279C5E67" w14:textId="77777777">
        <w:trPr>
          <w:trHeight w:val="288"/>
        </w:trPr>
        <w:tc>
          <w:tcPr>
            <w:tcW w:w="3160" w:type="pct"/>
            <w:tcBorders>
              <w:top w:val="nil"/>
              <w:bottom w:val="nil"/>
              <w:right w:val="nil"/>
            </w:tcBorders>
            <w:shd w:val="clear" w:color="auto" w:fill="8EA9DB"/>
            <w:noWrap/>
            <w:vAlign w:val="bottom"/>
          </w:tcPr>
          <w:p w14:paraId="6CC6A96B"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potable water</w:t>
            </w:r>
          </w:p>
        </w:tc>
        <w:tc>
          <w:tcPr>
            <w:tcW w:w="1001" w:type="pct"/>
            <w:tcBorders>
              <w:top w:val="nil"/>
              <w:left w:val="nil"/>
              <w:bottom w:val="nil"/>
              <w:right w:val="single" w:sz="4" w:space="0" w:color="auto"/>
            </w:tcBorders>
            <w:noWrap/>
            <w:vAlign w:val="center"/>
          </w:tcPr>
          <w:p w14:paraId="1C5E59B2"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AA3C3D3" w14:textId="77777777" w:rsidR="0099599B" w:rsidRDefault="0099599B">
            <w:pPr>
              <w:jc w:val="center"/>
              <w:rPr>
                <w:rFonts w:ascii="Calibri" w:hAnsi="Calibri" w:cs="Calibri"/>
                <w:color w:val="000000"/>
                <w:sz w:val="22"/>
                <w:szCs w:val="22"/>
              </w:rPr>
            </w:pPr>
          </w:p>
        </w:tc>
      </w:tr>
      <w:tr w:rsidR="0099599B" w14:paraId="00B45100" w14:textId="77777777">
        <w:trPr>
          <w:trHeight w:val="288"/>
        </w:trPr>
        <w:tc>
          <w:tcPr>
            <w:tcW w:w="3160" w:type="pct"/>
            <w:tcBorders>
              <w:top w:val="nil"/>
              <w:bottom w:val="nil"/>
              <w:right w:val="nil"/>
            </w:tcBorders>
            <w:shd w:val="clear" w:color="auto" w:fill="8EA9DB"/>
            <w:noWrap/>
            <w:vAlign w:val="bottom"/>
          </w:tcPr>
          <w:p w14:paraId="34DE6CB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Average cost of water per month</w:t>
            </w:r>
          </w:p>
        </w:tc>
        <w:tc>
          <w:tcPr>
            <w:tcW w:w="1001" w:type="pct"/>
            <w:tcBorders>
              <w:top w:val="nil"/>
              <w:left w:val="nil"/>
              <w:bottom w:val="nil"/>
              <w:right w:val="single" w:sz="4" w:space="0" w:color="auto"/>
            </w:tcBorders>
            <w:noWrap/>
            <w:vAlign w:val="center"/>
          </w:tcPr>
          <w:p w14:paraId="53FD4D0B"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781916A" w14:textId="77777777" w:rsidR="0099599B" w:rsidRDefault="0099599B">
            <w:pPr>
              <w:jc w:val="center"/>
              <w:rPr>
                <w:rFonts w:ascii="Calibri" w:hAnsi="Calibri" w:cs="Calibri"/>
                <w:color w:val="000000"/>
                <w:sz w:val="22"/>
                <w:szCs w:val="22"/>
              </w:rPr>
            </w:pPr>
          </w:p>
        </w:tc>
      </w:tr>
      <w:tr w:rsidR="0099599B" w14:paraId="1128F0B3" w14:textId="77777777">
        <w:trPr>
          <w:trHeight w:val="288"/>
        </w:trPr>
        <w:tc>
          <w:tcPr>
            <w:tcW w:w="3160" w:type="pct"/>
            <w:tcBorders>
              <w:top w:val="nil"/>
              <w:bottom w:val="nil"/>
              <w:right w:val="nil"/>
            </w:tcBorders>
            <w:shd w:val="clear" w:color="auto" w:fill="8EA9DB"/>
            <w:noWrap/>
            <w:vAlign w:val="bottom"/>
          </w:tcPr>
          <w:p w14:paraId="20941709"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Households without water source being available everyday</w:t>
            </w:r>
          </w:p>
        </w:tc>
        <w:tc>
          <w:tcPr>
            <w:tcW w:w="1001" w:type="pct"/>
            <w:tcBorders>
              <w:top w:val="nil"/>
              <w:left w:val="nil"/>
              <w:bottom w:val="nil"/>
              <w:right w:val="single" w:sz="4" w:space="0" w:color="auto"/>
            </w:tcBorders>
            <w:noWrap/>
            <w:vAlign w:val="center"/>
          </w:tcPr>
          <w:p w14:paraId="6C448A49"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1C7A0BF1" w14:textId="77777777" w:rsidR="0099599B" w:rsidRDefault="0099599B">
            <w:pPr>
              <w:jc w:val="center"/>
              <w:rPr>
                <w:rFonts w:ascii="Calibri" w:hAnsi="Calibri" w:cs="Calibri"/>
                <w:color w:val="000000"/>
                <w:sz w:val="22"/>
                <w:szCs w:val="22"/>
              </w:rPr>
            </w:pPr>
          </w:p>
        </w:tc>
      </w:tr>
      <w:tr w:rsidR="0099599B" w14:paraId="04A7C24C" w14:textId="77777777">
        <w:trPr>
          <w:trHeight w:val="288"/>
        </w:trPr>
        <w:tc>
          <w:tcPr>
            <w:tcW w:w="3160" w:type="pct"/>
            <w:tcBorders>
              <w:top w:val="nil"/>
              <w:bottom w:val="nil"/>
              <w:right w:val="nil"/>
            </w:tcBorders>
            <w:shd w:val="clear" w:color="auto" w:fill="8EA9DB"/>
            <w:noWrap/>
            <w:vAlign w:val="bottom"/>
          </w:tcPr>
          <w:p w14:paraId="6AA6B5D4"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Average minutes to get to a water source not inside the household</w:t>
            </w:r>
          </w:p>
        </w:tc>
        <w:tc>
          <w:tcPr>
            <w:tcW w:w="1001" w:type="pct"/>
            <w:tcBorders>
              <w:top w:val="nil"/>
              <w:left w:val="nil"/>
              <w:bottom w:val="nil"/>
              <w:right w:val="single" w:sz="4" w:space="0" w:color="auto"/>
            </w:tcBorders>
            <w:noWrap/>
            <w:vAlign w:val="center"/>
          </w:tcPr>
          <w:p w14:paraId="189A65B4"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763C5C24" w14:textId="77777777" w:rsidR="0099599B" w:rsidRDefault="0099599B">
            <w:pPr>
              <w:jc w:val="center"/>
              <w:rPr>
                <w:rFonts w:ascii="Calibri" w:hAnsi="Calibri" w:cs="Calibri"/>
                <w:color w:val="000000"/>
                <w:sz w:val="22"/>
                <w:szCs w:val="22"/>
              </w:rPr>
            </w:pPr>
          </w:p>
        </w:tc>
      </w:tr>
      <w:tr w:rsidR="0099599B" w14:paraId="552E30E2" w14:textId="77777777">
        <w:trPr>
          <w:trHeight w:val="288"/>
        </w:trPr>
        <w:tc>
          <w:tcPr>
            <w:tcW w:w="3160" w:type="pct"/>
            <w:tcBorders>
              <w:top w:val="nil"/>
              <w:bottom w:val="nil"/>
              <w:right w:val="nil"/>
            </w:tcBorders>
            <w:shd w:val="clear" w:color="auto" w:fill="8EA9DB"/>
            <w:noWrap/>
            <w:vAlign w:val="bottom"/>
          </w:tcPr>
          <w:p w14:paraId="32D5A2C5"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Conflicts about water sources in the community</w:t>
            </w:r>
          </w:p>
        </w:tc>
        <w:tc>
          <w:tcPr>
            <w:tcW w:w="1001" w:type="pct"/>
            <w:tcBorders>
              <w:top w:val="nil"/>
              <w:left w:val="nil"/>
              <w:bottom w:val="nil"/>
              <w:right w:val="single" w:sz="4" w:space="0" w:color="auto"/>
            </w:tcBorders>
            <w:noWrap/>
            <w:vAlign w:val="center"/>
          </w:tcPr>
          <w:p w14:paraId="48D22C25"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1F45358" w14:textId="77777777" w:rsidR="0099599B" w:rsidRDefault="0099599B">
            <w:pPr>
              <w:jc w:val="center"/>
              <w:rPr>
                <w:rFonts w:ascii="Calibri" w:hAnsi="Calibri" w:cs="Calibri"/>
                <w:color w:val="000000"/>
                <w:sz w:val="22"/>
                <w:szCs w:val="22"/>
              </w:rPr>
            </w:pPr>
          </w:p>
        </w:tc>
      </w:tr>
      <w:tr w:rsidR="0099599B" w14:paraId="30AE4810" w14:textId="77777777">
        <w:trPr>
          <w:trHeight w:val="288"/>
        </w:trPr>
        <w:tc>
          <w:tcPr>
            <w:tcW w:w="3160" w:type="pct"/>
            <w:tcBorders>
              <w:top w:val="nil"/>
              <w:bottom w:val="nil"/>
              <w:right w:val="nil"/>
            </w:tcBorders>
            <w:shd w:val="clear" w:color="auto" w:fill="5B9BD5"/>
            <w:noWrap/>
            <w:vAlign w:val="bottom"/>
          </w:tcPr>
          <w:p w14:paraId="681626BD"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Proportion of farm under irrigation</w:t>
            </w:r>
          </w:p>
        </w:tc>
        <w:tc>
          <w:tcPr>
            <w:tcW w:w="1001" w:type="pct"/>
            <w:tcBorders>
              <w:top w:val="nil"/>
              <w:left w:val="nil"/>
              <w:bottom w:val="nil"/>
              <w:right w:val="single" w:sz="4" w:space="0" w:color="auto"/>
            </w:tcBorders>
            <w:noWrap/>
            <w:vAlign w:val="center"/>
          </w:tcPr>
          <w:p w14:paraId="34D91C4B"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Agriculture</w:t>
            </w:r>
          </w:p>
        </w:tc>
        <w:tc>
          <w:tcPr>
            <w:tcW w:w="838" w:type="pct"/>
            <w:vMerge/>
            <w:tcBorders>
              <w:top w:val="nil"/>
              <w:left w:val="single" w:sz="4" w:space="0" w:color="auto"/>
              <w:bottom w:val="nil"/>
            </w:tcBorders>
            <w:noWrap/>
            <w:vAlign w:val="center"/>
          </w:tcPr>
          <w:p w14:paraId="081F37DA" w14:textId="77777777" w:rsidR="0099599B" w:rsidRDefault="0099599B">
            <w:pPr>
              <w:jc w:val="center"/>
              <w:rPr>
                <w:rFonts w:ascii="Calibri" w:hAnsi="Calibri" w:cs="Calibri"/>
                <w:color w:val="000000"/>
                <w:sz w:val="22"/>
                <w:szCs w:val="22"/>
              </w:rPr>
            </w:pPr>
          </w:p>
        </w:tc>
      </w:tr>
      <w:tr w:rsidR="0099599B" w14:paraId="1A9A0469" w14:textId="77777777">
        <w:trPr>
          <w:trHeight w:val="288"/>
        </w:trPr>
        <w:tc>
          <w:tcPr>
            <w:tcW w:w="3160" w:type="pct"/>
            <w:tcBorders>
              <w:top w:val="nil"/>
              <w:bottom w:val="nil"/>
              <w:right w:val="nil"/>
            </w:tcBorders>
            <w:shd w:val="clear" w:color="auto" w:fill="5B9BD5"/>
            <w:noWrap/>
            <w:vAlign w:val="bottom"/>
          </w:tcPr>
          <w:p w14:paraId="290F6B8D"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Farmers without access to water for dry season farming</w:t>
            </w:r>
          </w:p>
        </w:tc>
        <w:tc>
          <w:tcPr>
            <w:tcW w:w="1001" w:type="pct"/>
            <w:tcBorders>
              <w:top w:val="nil"/>
              <w:left w:val="nil"/>
              <w:bottom w:val="nil"/>
              <w:right w:val="single" w:sz="4" w:space="0" w:color="auto"/>
            </w:tcBorders>
            <w:noWrap/>
            <w:vAlign w:val="center"/>
          </w:tcPr>
          <w:p w14:paraId="4F9DBC9D"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7159BC4F" w14:textId="77777777" w:rsidR="0099599B" w:rsidRDefault="0099599B">
            <w:pPr>
              <w:jc w:val="center"/>
              <w:rPr>
                <w:rFonts w:ascii="Calibri" w:hAnsi="Calibri" w:cs="Calibri"/>
                <w:color w:val="000000"/>
                <w:sz w:val="22"/>
                <w:szCs w:val="22"/>
              </w:rPr>
            </w:pPr>
          </w:p>
        </w:tc>
      </w:tr>
      <w:tr w:rsidR="0099599B" w14:paraId="4ADF571B" w14:textId="77777777">
        <w:trPr>
          <w:trHeight w:val="288"/>
        </w:trPr>
        <w:tc>
          <w:tcPr>
            <w:tcW w:w="3160" w:type="pct"/>
            <w:tcBorders>
              <w:top w:val="nil"/>
              <w:bottom w:val="nil"/>
              <w:right w:val="nil"/>
            </w:tcBorders>
            <w:shd w:val="clear" w:color="auto" w:fill="5B9BD5"/>
            <w:noWrap/>
            <w:vAlign w:val="bottom"/>
          </w:tcPr>
          <w:p w14:paraId="21A7DE3A"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Average of Total output lost as post-harvest loses</w:t>
            </w:r>
          </w:p>
        </w:tc>
        <w:tc>
          <w:tcPr>
            <w:tcW w:w="1001" w:type="pct"/>
            <w:tcBorders>
              <w:top w:val="nil"/>
              <w:left w:val="nil"/>
              <w:bottom w:val="nil"/>
              <w:right w:val="single" w:sz="4" w:space="0" w:color="auto"/>
            </w:tcBorders>
            <w:noWrap/>
            <w:vAlign w:val="center"/>
          </w:tcPr>
          <w:p w14:paraId="400525BF"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085DF97" w14:textId="77777777" w:rsidR="0099599B" w:rsidRDefault="0099599B">
            <w:pPr>
              <w:jc w:val="center"/>
              <w:rPr>
                <w:rFonts w:ascii="Calibri" w:hAnsi="Calibri" w:cs="Calibri"/>
                <w:color w:val="000000"/>
                <w:sz w:val="22"/>
                <w:szCs w:val="22"/>
              </w:rPr>
            </w:pPr>
          </w:p>
        </w:tc>
      </w:tr>
      <w:tr w:rsidR="0099599B" w14:paraId="161107BB" w14:textId="77777777">
        <w:trPr>
          <w:trHeight w:val="288"/>
        </w:trPr>
        <w:tc>
          <w:tcPr>
            <w:tcW w:w="3160" w:type="pct"/>
            <w:tcBorders>
              <w:top w:val="nil"/>
              <w:bottom w:val="nil"/>
              <w:right w:val="nil"/>
            </w:tcBorders>
            <w:shd w:val="clear" w:color="auto" w:fill="9BC2E6"/>
            <w:noWrap/>
            <w:vAlign w:val="bottom"/>
          </w:tcPr>
          <w:p w14:paraId="751D89F0"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without access to coastsl storm warnings</w:t>
            </w:r>
          </w:p>
        </w:tc>
        <w:tc>
          <w:tcPr>
            <w:tcW w:w="1001" w:type="pct"/>
            <w:tcBorders>
              <w:top w:val="nil"/>
              <w:left w:val="nil"/>
              <w:bottom w:val="nil"/>
              <w:right w:val="single" w:sz="4" w:space="0" w:color="auto"/>
            </w:tcBorders>
            <w:noWrap/>
            <w:vAlign w:val="center"/>
          </w:tcPr>
          <w:p w14:paraId="0941A1F2"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Coastal </w:t>
            </w:r>
          </w:p>
        </w:tc>
        <w:tc>
          <w:tcPr>
            <w:tcW w:w="838" w:type="pct"/>
            <w:vMerge/>
            <w:tcBorders>
              <w:top w:val="nil"/>
              <w:left w:val="single" w:sz="4" w:space="0" w:color="auto"/>
              <w:bottom w:val="nil"/>
            </w:tcBorders>
            <w:noWrap/>
            <w:vAlign w:val="center"/>
          </w:tcPr>
          <w:p w14:paraId="35EE67CE" w14:textId="77777777" w:rsidR="0099599B" w:rsidRDefault="0099599B">
            <w:pPr>
              <w:jc w:val="center"/>
              <w:rPr>
                <w:rFonts w:ascii="Calibri" w:hAnsi="Calibri" w:cs="Calibri"/>
                <w:color w:val="000000"/>
                <w:sz w:val="22"/>
                <w:szCs w:val="22"/>
              </w:rPr>
            </w:pPr>
          </w:p>
        </w:tc>
      </w:tr>
      <w:tr w:rsidR="0099599B" w14:paraId="65733D4C" w14:textId="77777777">
        <w:trPr>
          <w:trHeight w:val="288"/>
        </w:trPr>
        <w:tc>
          <w:tcPr>
            <w:tcW w:w="3160" w:type="pct"/>
            <w:tcBorders>
              <w:top w:val="nil"/>
              <w:bottom w:val="nil"/>
              <w:right w:val="nil"/>
            </w:tcBorders>
            <w:shd w:val="clear" w:color="auto" w:fill="9BC2E6"/>
            <w:noWrap/>
            <w:vAlign w:val="bottom"/>
          </w:tcPr>
          <w:p w14:paraId="266245C3"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1 km or less from shoreline</w:t>
            </w:r>
          </w:p>
        </w:tc>
        <w:tc>
          <w:tcPr>
            <w:tcW w:w="1001" w:type="pct"/>
            <w:tcBorders>
              <w:top w:val="nil"/>
              <w:left w:val="nil"/>
              <w:bottom w:val="nil"/>
              <w:right w:val="single" w:sz="4" w:space="0" w:color="auto"/>
            </w:tcBorders>
            <w:noWrap/>
            <w:vAlign w:val="center"/>
          </w:tcPr>
          <w:p w14:paraId="231AFF7E"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DC83A58" w14:textId="77777777" w:rsidR="0099599B" w:rsidRDefault="0099599B">
            <w:pPr>
              <w:jc w:val="center"/>
              <w:rPr>
                <w:rFonts w:ascii="Calibri" w:hAnsi="Calibri" w:cs="Calibri"/>
                <w:color w:val="000000"/>
                <w:sz w:val="22"/>
                <w:szCs w:val="22"/>
              </w:rPr>
            </w:pPr>
          </w:p>
        </w:tc>
      </w:tr>
      <w:tr w:rsidR="0099599B" w14:paraId="1FB659A3" w14:textId="77777777">
        <w:trPr>
          <w:trHeight w:val="288"/>
        </w:trPr>
        <w:tc>
          <w:tcPr>
            <w:tcW w:w="3160" w:type="pct"/>
            <w:tcBorders>
              <w:top w:val="nil"/>
              <w:bottom w:val="nil"/>
              <w:right w:val="nil"/>
            </w:tcBorders>
            <w:shd w:val="clear" w:color="auto" w:fill="9BC2E6"/>
            <w:noWrap/>
            <w:vAlign w:val="bottom"/>
          </w:tcPr>
          <w:p w14:paraId="11038C11"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 considered relocating due to sea-related risk</w:t>
            </w:r>
          </w:p>
        </w:tc>
        <w:tc>
          <w:tcPr>
            <w:tcW w:w="1001" w:type="pct"/>
            <w:tcBorders>
              <w:top w:val="nil"/>
              <w:left w:val="nil"/>
              <w:bottom w:val="nil"/>
              <w:right w:val="single" w:sz="4" w:space="0" w:color="auto"/>
            </w:tcBorders>
            <w:noWrap/>
            <w:vAlign w:val="center"/>
          </w:tcPr>
          <w:p w14:paraId="50211A87"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21038948" w14:textId="77777777" w:rsidR="0099599B" w:rsidRDefault="0099599B">
            <w:pPr>
              <w:jc w:val="center"/>
              <w:rPr>
                <w:rFonts w:ascii="Calibri" w:hAnsi="Calibri" w:cs="Calibri"/>
                <w:color w:val="000000"/>
                <w:sz w:val="22"/>
                <w:szCs w:val="22"/>
              </w:rPr>
            </w:pPr>
          </w:p>
        </w:tc>
      </w:tr>
      <w:tr w:rsidR="0099599B" w14:paraId="2112293D" w14:textId="77777777">
        <w:trPr>
          <w:trHeight w:val="288"/>
        </w:trPr>
        <w:tc>
          <w:tcPr>
            <w:tcW w:w="3160" w:type="pct"/>
            <w:tcBorders>
              <w:top w:val="nil"/>
              <w:bottom w:val="nil"/>
              <w:right w:val="nil"/>
            </w:tcBorders>
            <w:shd w:val="clear" w:color="auto" w:fill="8EA9DB"/>
            <w:noWrap/>
            <w:vAlign w:val="bottom"/>
          </w:tcPr>
          <w:p w14:paraId="31998AD2"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Service worker respondents mostly dependent on household farms for food</w:t>
            </w:r>
          </w:p>
        </w:tc>
        <w:tc>
          <w:tcPr>
            <w:tcW w:w="1001" w:type="pct"/>
            <w:tcBorders>
              <w:top w:val="nil"/>
              <w:left w:val="nil"/>
              <w:bottom w:val="nil"/>
              <w:right w:val="single" w:sz="4" w:space="0" w:color="auto"/>
            </w:tcBorders>
            <w:noWrap/>
            <w:vAlign w:val="center"/>
          </w:tcPr>
          <w:p w14:paraId="6A6F7480"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Service</w:t>
            </w:r>
          </w:p>
        </w:tc>
        <w:tc>
          <w:tcPr>
            <w:tcW w:w="838" w:type="pct"/>
            <w:vMerge/>
            <w:tcBorders>
              <w:top w:val="nil"/>
              <w:left w:val="single" w:sz="4" w:space="0" w:color="auto"/>
              <w:bottom w:val="nil"/>
            </w:tcBorders>
            <w:noWrap/>
            <w:vAlign w:val="center"/>
          </w:tcPr>
          <w:p w14:paraId="50D54703" w14:textId="77777777" w:rsidR="0099599B" w:rsidRDefault="0099599B">
            <w:pPr>
              <w:jc w:val="center"/>
              <w:rPr>
                <w:rFonts w:ascii="Calibri" w:hAnsi="Calibri" w:cs="Calibri"/>
                <w:color w:val="000000"/>
                <w:sz w:val="22"/>
                <w:szCs w:val="22"/>
              </w:rPr>
            </w:pPr>
          </w:p>
        </w:tc>
      </w:tr>
      <w:tr w:rsidR="0099599B" w14:paraId="279CF03E" w14:textId="77777777">
        <w:trPr>
          <w:trHeight w:val="288"/>
        </w:trPr>
        <w:tc>
          <w:tcPr>
            <w:tcW w:w="3160" w:type="pct"/>
            <w:tcBorders>
              <w:top w:val="nil"/>
              <w:bottom w:val="nil"/>
              <w:right w:val="nil"/>
            </w:tcBorders>
            <w:shd w:val="clear" w:color="auto" w:fill="8EA9DB"/>
            <w:noWrap/>
            <w:vAlign w:val="bottom"/>
          </w:tcPr>
          <w:p w14:paraId="50C4D942"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Respondents' businesses without insurance</w:t>
            </w:r>
          </w:p>
        </w:tc>
        <w:tc>
          <w:tcPr>
            <w:tcW w:w="1001" w:type="pct"/>
            <w:tcBorders>
              <w:top w:val="nil"/>
              <w:left w:val="nil"/>
              <w:bottom w:val="nil"/>
              <w:right w:val="single" w:sz="4" w:space="0" w:color="auto"/>
            </w:tcBorders>
            <w:noWrap/>
            <w:vAlign w:val="center"/>
          </w:tcPr>
          <w:p w14:paraId="2ACF997C"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79400216" w14:textId="77777777" w:rsidR="0099599B" w:rsidRDefault="0099599B">
            <w:pPr>
              <w:jc w:val="center"/>
              <w:rPr>
                <w:rFonts w:ascii="Calibri" w:hAnsi="Calibri" w:cs="Calibri"/>
                <w:color w:val="000000"/>
                <w:sz w:val="22"/>
                <w:szCs w:val="22"/>
              </w:rPr>
            </w:pPr>
          </w:p>
        </w:tc>
      </w:tr>
      <w:tr w:rsidR="0099599B" w14:paraId="24C69CCF" w14:textId="77777777">
        <w:trPr>
          <w:trHeight w:val="288"/>
        </w:trPr>
        <w:tc>
          <w:tcPr>
            <w:tcW w:w="3160" w:type="pct"/>
            <w:tcBorders>
              <w:top w:val="nil"/>
              <w:bottom w:val="nil"/>
              <w:right w:val="nil"/>
            </w:tcBorders>
            <w:shd w:val="clear" w:color="auto" w:fill="8EA9DB"/>
            <w:noWrap/>
            <w:vAlign w:val="bottom"/>
          </w:tcPr>
          <w:p w14:paraId="4AB943E1"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Dependent on agricultural raw products for their activity</w:t>
            </w:r>
          </w:p>
        </w:tc>
        <w:tc>
          <w:tcPr>
            <w:tcW w:w="1001" w:type="pct"/>
            <w:tcBorders>
              <w:top w:val="nil"/>
              <w:left w:val="nil"/>
              <w:bottom w:val="nil"/>
              <w:right w:val="single" w:sz="4" w:space="0" w:color="auto"/>
            </w:tcBorders>
            <w:noWrap/>
            <w:vAlign w:val="center"/>
          </w:tcPr>
          <w:p w14:paraId="406DE1E9"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28072F2" w14:textId="77777777" w:rsidR="0099599B" w:rsidRDefault="0099599B">
            <w:pPr>
              <w:jc w:val="center"/>
              <w:rPr>
                <w:rFonts w:ascii="Calibri" w:hAnsi="Calibri" w:cs="Calibri"/>
                <w:color w:val="000000"/>
                <w:sz w:val="22"/>
                <w:szCs w:val="22"/>
              </w:rPr>
            </w:pPr>
          </w:p>
        </w:tc>
      </w:tr>
      <w:tr w:rsidR="0099599B" w14:paraId="3E39F0B2" w14:textId="77777777">
        <w:trPr>
          <w:trHeight w:val="288"/>
        </w:trPr>
        <w:tc>
          <w:tcPr>
            <w:tcW w:w="3160" w:type="pct"/>
            <w:tcBorders>
              <w:top w:val="nil"/>
              <w:bottom w:val="nil"/>
              <w:right w:val="nil"/>
            </w:tcBorders>
            <w:shd w:val="clear" w:color="auto" w:fill="8EA9DB"/>
            <w:noWrap/>
            <w:vAlign w:val="bottom"/>
          </w:tcPr>
          <w:p w14:paraId="727A8471"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Business persons not aware government support for their business</w:t>
            </w:r>
          </w:p>
        </w:tc>
        <w:tc>
          <w:tcPr>
            <w:tcW w:w="1001" w:type="pct"/>
            <w:tcBorders>
              <w:top w:val="nil"/>
              <w:left w:val="nil"/>
              <w:bottom w:val="nil"/>
              <w:right w:val="single" w:sz="4" w:space="0" w:color="auto"/>
            </w:tcBorders>
            <w:noWrap/>
            <w:vAlign w:val="center"/>
          </w:tcPr>
          <w:p w14:paraId="6137DBAF"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6F3B37F" w14:textId="77777777" w:rsidR="0099599B" w:rsidRDefault="0099599B">
            <w:pPr>
              <w:jc w:val="center"/>
              <w:rPr>
                <w:rFonts w:ascii="Calibri" w:hAnsi="Calibri" w:cs="Calibri"/>
                <w:color w:val="000000"/>
                <w:sz w:val="22"/>
                <w:szCs w:val="22"/>
              </w:rPr>
            </w:pPr>
          </w:p>
        </w:tc>
      </w:tr>
      <w:tr w:rsidR="0099599B" w14:paraId="714EBFCE" w14:textId="77777777">
        <w:trPr>
          <w:trHeight w:val="288"/>
        </w:trPr>
        <w:tc>
          <w:tcPr>
            <w:tcW w:w="3160" w:type="pct"/>
            <w:tcBorders>
              <w:top w:val="nil"/>
              <w:bottom w:val="nil"/>
              <w:right w:val="nil"/>
            </w:tcBorders>
            <w:shd w:val="clear" w:color="auto" w:fill="00B0F0"/>
            <w:noWrap/>
            <w:vAlign w:val="bottom"/>
          </w:tcPr>
          <w:p w14:paraId="4FD3A32C"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 Not aware of climate driven risks </w:t>
            </w:r>
          </w:p>
        </w:tc>
        <w:tc>
          <w:tcPr>
            <w:tcW w:w="1001" w:type="pct"/>
            <w:tcBorders>
              <w:top w:val="nil"/>
              <w:left w:val="nil"/>
              <w:bottom w:val="nil"/>
              <w:right w:val="single" w:sz="4" w:space="0" w:color="auto"/>
            </w:tcBorders>
            <w:noWrap/>
            <w:vAlign w:val="center"/>
          </w:tcPr>
          <w:p w14:paraId="0527A5E8"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DRR</w:t>
            </w:r>
          </w:p>
        </w:tc>
        <w:tc>
          <w:tcPr>
            <w:tcW w:w="838" w:type="pct"/>
            <w:vMerge/>
            <w:tcBorders>
              <w:top w:val="nil"/>
              <w:left w:val="single" w:sz="4" w:space="0" w:color="auto"/>
              <w:bottom w:val="nil"/>
            </w:tcBorders>
            <w:noWrap/>
            <w:vAlign w:val="center"/>
          </w:tcPr>
          <w:p w14:paraId="5D145D5E" w14:textId="77777777" w:rsidR="0099599B" w:rsidRDefault="0099599B">
            <w:pPr>
              <w:jc w:val="center"/>
              <w:rPr>
                <w:rFonts w:ascii="Calibri" w:hAnsi="Calibri" w:cs="Calibri"/>
                <w:color w:val="000000"/>
                <w:sz w:val="22"/>
                <w:szCs w:val="22"/>
              </w:rPr>
            </w:pPr>
          </w:p>
        </w:tc>
      </w:tr>
      <w:tr w:rsidR="0099599B" w14:paraId="6D9CF896" w14:textId="77777777">
        <w:trPr>
          <w:trHeight w:val="288"/>
        </w:trPr>
        <w:tc>
          <w:tcPr>
            <w:tcW w:w="3160" w:type="pct"/>
            <w:tcBorders>
              <w:top w:val="nil"/>
              <w:bottom w:val="nil"/>
              <w:right w:val="nil"/>
            </w:tcBorders>
            <w:shd w:val="clear" w:color="auto" w:fill="00B0F0"/>
            <w:noWrap/>
            <w:vAlign w:val="bottom"/>
          </w:tcPr>
          <w:p w14:paraId="752127C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Respondents who received no warnings to extreme weather</w:t>
            </w:r>
          </w:p>
        </w:tc>
        <w:tc>
          <w:tcPr>
            <w:tcW w:w="1001" w:type="pct"/>
            <w:tcBorders>
              <w:top w:val="nil"/>
              <w:left w:val="nil"/>
              <w:bottom w:val="nil"/>
              <w:right w:val="single" w:sz="4" w:space="0" w:color="auto"/>
            </w:tcBorders>
            <w:noWrap/>
            <w:vAlign w:val="center"/>
          </w:tcPr>
          <w:p w14:paraId="140138A6"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0DE6E2F1" w14:textId="77777777" w:rsidR="0099599B" w:rsidRDefault="0099599B">
            <w:pPr>
              <w:jc w:val="center"/>
              <w:rPr>
                <w:rFonts w:ascii="Calibri" w:hAnsi="Calibri" w:cs="Calibri"/>
                <w:color w:val="000000"/>
                <w:sz w:val="22"/>
                <w:szCs w:val="22"/>
              </w:rPr>
            </w:pPr>
          </w:p>
        </w:tc>
      </w:tr>
      <w:tr w:rsidR="0099599B" w14:paraId="6A5EB017" w14:textId="77777777">
        <w:trPr>
          <w:trHeight w:val="288"/>
        </w:trPr>
        <w:tc>
          <w:tcPr>
            <w:tcW w:w="3160" w:type="pct"/>
            <w:tcBorders>
              <w:top w:val="nil"/>
              <w:bottom w:val="single" w:sz="4" w:space="0" w:color="auto"/>
              <w:right w:val="nil"/>
            </w:tcBorders>
            <w:shd w:val="clear" w:color="auto" w:fill="00B0F0"/>
            <w:noWrap/>
            <w:vAlign w:val="bottom"/>
          </w:tcPr>
          <w:p w14:paraId="39F985C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that does not recieve information of weather information for your communication devices</w:t>
            </w:r>
          </w:p>
        </w:tc>
        <w:tc>
          <w:tcPr>
            <w:tcW w:w="1001" w:type="pct"/>
            <w:tcBorders>
              <w:top w:val="nil"/>
              <w:left w:val="nil"/>
              <w:bottom w:val="single" w:sz="4" w:space="0" w:color="auto"/>
              <w:right w:val="single" w:sz="4" w:space="0" w:color="auto"/>
            </w:tcBorders>
            <w:noWrap/>
            <w:vAlign w:val="center"/>
          </w:tcPr>
          <w:p w14:paraId="348F1EA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7197DF4E" w14:textId="77777777" w:rsidR="0099599B" w:rsidRDefault="0099599B">
            <w:pPr>
              <w:jc w:val="center"/>
              <w:rPr>
                <w:rFonts w:ascii="Calibri" w:hAnsi="Calibri" w:cs="Calibri"/>
                <w:color w:val="000000"/>
                <w:sz w:val="22"/>
                <w:szCs w:val="22"/>
              </w:rPr>
            </w:pPr>
          </w:p>
        </w:tc>
      </w:tr>
      <w:tr w:rsidR="0099599B" w14:paraId="0A870598" w14:textId="77777777">
        <w:trPr>
          <w:trHeight w:val="288"/>
        </w:trPr>
        <w:tc>
          <w:tcPr>
            <w:tcW w:w="3160" w:type="pct"/>
            <w:tcBorders>
              <w:top w:val="single" w:sz="4" w:space="0" w:color="auto"/>
              <w:bottom w:val="single" w:sz="4" w:space="0" w:color="auto"/>
              <w:right w:val="nil"/>
            </w:tcBorders>
            <w:shd w:val="clear" w:color="auto" w:fill="FFC000"/>
            <w:noWrap/>
            <w:vAlign w:val="bottom"/>
          </w:tcPr>
          <w:p w14:paraId="4D964CD4" w14:textId="77777777" w:rsidR="0099599B" w:rsidRDefault="0099599B">
            <w:pPr>
              <w:rPr>
                <w:rFonts w:ascii="Calibri" w:hAnsi="Calibri" w:cs="Calibri"/>
                <w:color w:val="000000"/>
                <w:sz w:val="22"/>
                <w:szCs w:val="22"/>
              </w:rPr>
            </w:pPr>
          </w:p>
        </w:tc>
        <w:tc>
          <w:tcPr>
            <w:tcW w:w="1001" w:type="pct"/>
            <w:tcBorders>
              <w:top w:val="single" w:sz="4" w:space="0" w:color="auto"/>
              <w:left w:val="nil"/>
              <w:bottom w:val="single" w:sz="4" w:space="0" w:color="auto"/>
              <w:right w:val="single" w:sz="4" w:space="0" w:color="auto"/>
            </w:tcBorders>
            <w:noWrap/>
            <w:vAlign w:val="center"/>
          </w:tcPr>
          <w:p w14:paraId="1A0E3F21" w14:textId="77777777" w:rsidR="0099599B" w:rsidRDefault="0099599B">
            <w:pPr>
              <w:rPr>
                <w:rFonts w:ascii="Calibri" w:hAnsi="Calibri" w:cs="Calibri"/>
                <w:color w:val="000000"/>
                <w:sz w:val="22"/>
                <w:szCs w:val="22"/>
              </w:rPr>
            </w:pPr>
          </w:p>
        </w:tc>
        <w:tc>
          <w:tcPr>
            <w:tcW w:w="838" w:type="pct"/>
            <w:tcBorders>
              <w:top w:val="nil"/>
              <w:left w:val="single" w:sz="4" w:space="0" w:color="auto"/>
              <w:bottom w:val="nil"/>
            </w:tcBorders>
            <w:noWrap/>
            <w:vAlign w:val="center"/>
          </w:tcPr>
          <w:p w14:paraId="2F988DDC" w14:textId="77777777" w:rsidR="0099599B" w:rsidRDefault="0099599B">
            <w:pPr>
              <w:rPr>
                <w:rFonts w:ascii="Calibri" w:hAnsi="Calibri" w:cs="Calibri"/>
                <w:color w:val="000000"/>
                <w:sz w:val="22"/>
                <w:szCs w:val="22"/>
              </w:rPr>
            </w:pPr>
          </w:p>
        </w:tc>
      </w:tr>
      <w:tr w:rsidR="0099599B" w14:paraId="466E8070" w14:textId="77777777">
        <w:trPr>
          <w:trHeight w:val="288"/>
        </w:trPr>
        <w:tc>
          <w:tcPr>
            <w:tcW w:w="3160" w:type="pct"/>
            <w:tcBorders>
              <w:top w:val="single" w:sz="4" w:space="0" w:color="auto"/>
              <w:bottom w:val="nil"/>
              <w:right w:val="nil"/>
            </w:tcBorders>
            <w:shd w:val="clear" w:color="auto" w:fill="FCE4D6"/>
            <w:noWrap/>
            <w:vAlign w:val="bottom"/>
          </w:tcPr>
          <w:p w14:paraId="78EE556F"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Extreme Droughts in respective communities</w:t>
            </w:r>
          </w:p>
        </w:tc>
        <w:tc>
          <w:tcPr>
            <w:tcW w:w="1001" w:type="pct"/>
            <w:tcBorders>
              <w:top w:val="single" w:sz="4" w:space="0" w:color="auto"/>
              <w:left w:val="nil"/>
              <w:bottom w:val="nil"/>
              <w:right w:val="single" w:sz="4" w:space="0" w:color="auto"/>
            </w:tcBorders>
            <w:noWrap/>
            <w:vAlign w:val="center"/>
          </w:tcPr>
          <w:p w14:paraId="6A506C85"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Natural disasters</w:t>
            </w:r>
          </w:p>
        </w:tc>
        <w:tc>
          <w:tcPr>
            <w:tcW w:w="838" w:type="pct"/>
            <w:vMerge w:val="restart"/>
            <w:tcBorders>
              <w:top w:val="nil"/>
              <w:left w:val="single" w:sz="4" w:space="0" w:color="auto"/>
              <w:bottom w:val="nil"/>
            </w:tcBorders>
            <w:noWrap/>
            <w:vAlign w:val="center"/>
          </w:tcPr>
          <w:p w14:paraId="2A602B6B" w14:textId="77777777" w:rsidR="0099599B" w:rsidRDefault="00EB7A3F">
            <w:pPr>
              <w:jc w:val="cente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Exposure</w:t>
            </w:r>
          </w:p>
        </w:tc>
      </w:tr>
      <w:tr w:rsidR="0099599B" w14:paraId="47CE2103" w14:textId="77777777">
        <w:trPr>
          <w:trHeight w:val="288"/>
        </w:trPr>
        <w:tc>
          <w:tcPr>
            <w:tcW w:w="3160" w:type="pct"/>
            <w:tcBorders>
              <w:top w:val="nil"/>
              <w:bottom w:val="nil"/>
              <w:right w:val="nil"/>
            </w:tcBorders>
            <w:shd w:val="clear" w:color="auto" w:fill="FCE4D6"/>
            <w:noWrap/>
            <w:vAlign w:val="bottom"/>
          </w:tcPr>
          <w:p w14:paraId="184216F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Extreme Floods in respective communities</w:t>
            </w:r>
          </w:p>
        </w:tc>
        <w:tc>
          <w:tcPr>
            <w:tcW w:w="1001" w:type="pct"/>
            <w:tcBorders>
              <w:top w:val="nil"/>
              <w:left w:val="nil"/>
              <w:bottom w:val="nil"/>
              <w:right w:val="single" w:sz="4" w:space="0" w:color="auto"/>
            </w:tcBorders>
            <w:noWrap/>
            <w:vAlign w:val="center"/>
          </w:tcPr>
          <w:p w14:paraId="3A78BAA2"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49CA0B5" w14:textId="77777777" w:rsidR="0099599B" w:rsidRDefault="0099599B">
            <w:pPr>
              <w:jc w:val="center"/>
              <w:rPr>
                <w:rFonts w:ascii="Calibri" w:hAnsi="Calibri" w:cs="Calibri"/>
                <w:color w:val="000000"/>
                <w:sz w:val="22"/>
                <w:szCs w:val="22"/>
              </w:rPr>
            </w:pPr>
          </w:p>
        </w:tc>
      </w:tr>
      <w:tr w:rsidR="0099599B" w14:paraId="7B16A552" w14:textId="77777777">
        <w:trPr>
          <w:trHeight w:val="288"/>
        </w:trPr>
        <w:tc>
          <w:tcPr>
            <w:tcW w:w="3160" w:type="pct"/>
            <w:tcBorders>
              <w:top w:val="nil"/>
              <w:bottom w:val="nil"/>
              <w:right w:val="nil"/>
            </w:tcBorders>
            <w:shd w:val="clear" w:color="auto" w:fill="FCE4D6"/>
            <w:noWrap/>
            <w:vAlign w:val="bottom"/>
          </w:tcPr>
          <w:p w14:paraId="49D5411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lastRenderedPageBreak/>
              <w:t>% Farmers with farms in flood prone areas</w:t>
            </w:r>
          </w:p>
        </w:tc>
        <w:tc>
          <w:tcPr>
            <w:tcW w:w="1001" w:type="pct"/>
            <w:tcBorders>
              <w:top w:val="nil"/>
              <w:left w:val="nil"/>
              <w:bottom w:val="nil"/>
              <w:right w:val="single" w:sz="4" w:space="0" w:color="auto"/>
            </w:tcBorders>
            <w:noWrap/>
            <w:vAlign w:val="center"/>
          </w:tcPr>
          <w:p w14:paraId="152ED065"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FFD7FA5" w14:textId="77777777" w:rsidR="0099599B" w:rsidRDefault="0099599B">
            <w:pPr>
              <w:jc w:val="center"/>
              <w:rPr>
                <w:rFonts w:ascii="Calibri" w:hAnsi="Calibri" w:cs="Calibri"/>
                <w:color w:val="000000"/>
                <w:sz w:val="22"/>
                <w:szCs w:val="22"/>
              </w:rPr>
            </w:pPr>
          </w:p>
        </w:tc>
      </w:tr>
      <w:tr w:rsidR="0099599B" w14:paraId="244C64E5" w14:textId="77777777">
        <w:trPr>
          <w:trHeight w:val="288"/>
        </w:trPr>
        <w:tc>
          <w:tcPr>
            <w:tcW w:w="3160" w:type="pct"/>
            <w:tcBorders>
              <w:top w:val="nil"/>
              <w:bottom w:val="nil"/>
              <w:right w:val="nil"/>
            </w:tcBorders>
            <w:shd w:val="clear" w:color="auto" w:fill="FCE4D6"/>
            <w:noWrap/>
            <w:vAlign w:val="bottom"/>
          </w:tcPr>
          <w:p w14:paraId="2ED12676"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service businesses in flood prone areas</w:t>
            </w:r>
          </w:p>
        </w:tc>
        <w:tc>
          <w:tcPr>
            <w:tcW w:w="1001" w:type="pct"/>
            <w:tcBorders>
              <w:top w:val="nil"/>
              <w:left w:val="nil"/>
              <w:bottom w:val="nil"/>
              <w:right w:val="single" w:sz="4" w:space="0" w:color="auto"/>
            </w:tcBorders>
            <w:noWrap/>
            <w:vAlign w:val="center"/>
          </w:tcPr>
          <w:p w14:paraId="28BD5775"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02D0EE23" w14:textId="77777777" w:rsidR="0099599B" w:rsidRDefault="0099599B">
            <w:pPr>
              <w:jc w:val="center"/>
              <w:rPr>
                <w:rFonts w:ascii="Calibri" w:hAnsi="Calibri" w:cs="Calibri"/>
                <w:color w:val="000000"/>
                <w:sz w:val="22"/>
                <w:szCs w:val="22"/>
              </w:rPr>
            </w:pPr>
          </w:p>
        </w:tc>
      </w:tr>
      <w:tr w:rsidR="0099599B" w14:paraId="520D0DF9" w14:textId="77777777">
        <w:trPr>
          <w:trHeight w:val="288"/>
        </w:trPr>
        <w:tc>
          <w:tcPr>
            <w:tcW w:w="3160" w:type="pct"/>
            <w:tcBorders>
              <w:top w:val="nil"/>
              <w:bottom w:val="nil"/>
              <w:right w:val="nil"/>
            </w:tcBorders>
            <w:shd w:val="clear" w:color="auto" w:fill="FCE4D6"/>
            <w:noWrap/>
            <w:vAlign w:val="bottom"/>
          </w:tcPr>
          <w:p w14:paraId="21C7772B"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affected by forest pest and disease outbreak</w:t>
            </w:r>
          </w:p>
        </w:tc>
        <w:tc>
          <w:tcPr>
            <w:tcW w:w="1001" w:type="pct"/>
            <w:tcBorders>
              <w:top w:val="nil"/>
              <w:left w:val="nil"/>
              <w:bottom w:val="nil"/>
              <w:right w:val="single" w:sz="4" w:space="0" w:color="auto"/>
            </w:tcBorders>
            <w:noWrap/>
            <w:vAlign w:val="center"/>
          </w:tcPr>
          <w:p w14:paraId="7C336C2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BC93BEE" w14:textId="77777777" w:rsidR="0099599B" w:rsidRDefault="0099599B">
            <w:pPr>
              <w:jc w:val="center"/>
              <w:rPr>
                <w:rFonts w:ascii="Calibri" w:hAnsi="Calibri" w:cs="Calibri"/>
                <w:color w:val="000000"/>
                <w:sz w:val="22"/>
                <w:szCs w:val="22"/>
              </w:rPr>
            </w:pPr>
          </w:p>
        </w:tc>
      </w:tr>
      <w:tr w:rsidR="0099599B" w14:paraId="52966AEC" w14:textId="77777777">
        <w:trPr>
          <w:trHeight w:val="288"/>
        </w:trPr>
        <w:tc>
          <w:tcPr>
            <w:tcW w:w="3160" w:type="pct"/>
            <w:tcBorders>
              <w:top w:val="nil"/>
              <w:bottom w:val="nil"/>
              <w:right w:val="nil"/>
            </w:tcBorders>
            <w:shd w:val="clear" w:color="auto" w:fill="FCE4D6"/>
            <w:noWrap/>
            <w:vAlign w:val="bottom"/>
          </w:tcPr>
          <w:p w14:paraId="59DDF49A"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xml:space="preserve">Number of forest fires  have occurred in this community since 10 years ago </w:t>
            </w:r>
          </w:p>
        </w:tc>
        <w:tc>
          <w:tcPr>
            <w:tcW w:w="1001" w:type="pct"/>
            <w:tcBorders>
              <w:top w:val="nil"/>
              <w:left w:val="nil"/>
              <w:bottom w:val="nil"/>
              <w:right w:val="single" w:sz="4" w:space="0" w:color="auto"/>
            </w:tcBorders>
            <w:noWrap/>
            <w:vAlign w:val="center"/>
          </w:tcPr>
          <w:p w14:paraId="32FDAE68"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4918AC4A" w14:textId="77777777" w:rsidR="0099599B" w:rsidRDefault="0099599B">
            <w:pPr>
              <w:jc w:val="center"/>
              <w:rPr>
                <w:rFonts w:ascii="Calibri" w:hAnsi="Calibri" w:cs="Calibri"/>
                <w:color w:val="000000"/>
                <w:sz w:val="22"/>
                <w:szCs w:val="22"/>
              </w:rPr>
            </w:pPr>
          </w:p>
        </w:tc>
      </w:tr>
      <w:tr w:rsidR="0099599B" w14:paraId="3F702FC0" w14:textId="77777777">
        <w:trPr>
          <w:trHeight w:val="288"/>
        </w:trPr>
        <w:tc>
          <w:tcPr>
            <w:tcW w:w="3160" w:type="pct"/>
            <w:tcBorders>
              <w:top w:val="nil"/>
              <w:bottom w:val="nil"/>
              <w:right w:val="nil"/>
            </w:tcBorders>
            <w:shd w:val="clear" w:color="auto" w:fill="FCE4D6"/>
            <w:noWrap/>
            <w:vAlign w:val="bottom"/>
          </w:tcPr>
          <w:p w14:paraId="6F90C9FB"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that have been affected by shoreline erosion, accretion or both</w:t>
            </w:r>
          </w:p>
        </w:tc>
        <w:tc>
          <w:tcPr>
            <w:tcW w:w="1001" w:type="pct"/>
            <w:tcBorders>
              <w:top w:val="nil"/>
              <w:left w:val="nil"/>
              <w:bottom w:val="nil"/>
              <w:right w:val="single" w:sz="4" w:space="0" w:color="auto"/>
            </w:tcBorders>
            <w:noWrap/>
            <w:vAlign w:val="center"/>
          </w:tcPr>
          <w:p w14:paraId="20A191C1"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71615E6B" w14:textId="77777777" w:rsidR="0099599B" w:rsidRDefault="0099599B">
            <w:pPr>
              <w:jc w:val="center"/>
              <w:rPr>
                <w:rFonts w:ascii="Calibri" w:hAnsi="Calibri" w:cs="Calibri"/>
                <w:color w:val="000000"/>
                <w:sz w:val="22"/>
                <w:szCs w:val="22"/>
              </w:rPr>
            </w:pPr>
          </w:p>
        </w:tc>
      </w:tr>
      <w:tr w:rsidR="0099599B" w14:paraId="7D62F487" w14:textId="77777777">
        <w:trPr>
          <w:trHeight w:val="288"/>
        </w:trPr>
        <w:tc>
          <w:tcPr>
            <w:tcW w:w="3160" w:type="pct"/>
            <w:tcBorders>
              <w:top w:val="nil"/>
              <w:bottom w:val="single" w:sz="4" w:space="0" w:color="auto"/>
              <w:right w:val="nil"/>
            </w:tcBorders>
            <w:shd w:val="clear" w:color="auto" w:fill="FCE4D6"/>
            <w:noWrap/>
            <w:vAlign w:val="bottom"/>
          </w:tcPr>
          <w:p w14:paraId="4DE49C69"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household affected by tidal flooding</w:t>
            </w:r>
          </w:p>
        </w:tc>
        <w:tc>
          <w:tcPr>
            <w:tcW w:w="1001" w:type="pct"/>
            <w:tcBorders>
              <w:top w:val="nil"/>
              <w:left w:val="nil"/>
              <w:bottom w:val="single" w:sz="4" w:space="0" w:color="auto"/>
              <w:right w:val="single" w:sz="4" w:space="0" w:color="auto"/>
            </w:tcBorders>
            <w:noWrap/>
            <w:vAlign w:val="center"/>
          </w:tcPr>
          <w:p w14:paraId="565142CF"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067CD0CD" w14:textId="77777777" w:rsidR="0099599B" w:rsidRDefault="0099599B">
            <w:pPr>
              <w:jc w:val="center"/>
              <w:rPr>
                <w:rFonts w:ascii="Calibri" w:hAnsi="Calibri" w:cs="Calibri"/>
                <w:color w:val="000000"/>
                <w:sz w:val="22"/>
                <w:szCs w:val="22"/>
              </w:rPr>
            </w:pPr>
          </w:p>
        </w:tc>
      </w:tr>
      <w:tr w:rsidR="0099599B" w14:paraId="6F75E598" w14:textId="77777777">
        <w:trPr>
          <w:trHeight w:val="288"/>
        </w:trPr>
        <w:tc>
          <w:tcPr>
            <w:tcW w:w="3160" w:type="pct"/>
            <w:tcBorders>
              <w:top w:val="single" w:sz="4" w:space="0" w:color="auto"/>
              <w:bottom w:val="nil"/>
              <w:right w:val="nil"/>
            </w:tcBorders>
            <w:shd w:val="clear" w:color="auto" w:fill="FCE4D6"/>
            <w:noWrap/>
            <w:vAlign w:val="bottom"/>
          </w:tcPr>
          <w:p w14:paraId="584BD7C0"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affected by saltwater intrusion</w:t>
            </w:r>
          </w:p>
        </w:tc>
        <w:tc>
          <w:tcPr>
            <w:tcW w:w="1001" w:type="pct"/>
            <w:tcBorders>
              <w:top w:val="single" w:sz="4" w:space="0" w:color="auto"/>
              <w:left w:val="nil"/>
              <w:bottom w:val="nil"/>
              <w:right w:val="single" w:sz="4" w:space="0" w:color="auto"/>
            </w:tcBorders>
            <w:noWrap/>
            <w:vAlign w:val="center"/>
          </w:tcPr>
          <w:p w14:paraId="70A0D290"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64BADB24" w14:textId="77777777" w:rsidR="0099599B" w:rsidRDefault="0099599B">
            <w:pPr>
              <w:jc w:val="center"/>
              <w:rPr>
                <w:rFonts w:ascii="Calibri" w:hAnsi="Calibri" w:cs="Calibri"/>
                <w:color w:val="000000"/>
                <w:sz w:val="22"/>
                <w:szCs w:val="22"/>
              </w:rPr>
            </w:pPr>
          </w:p>
        </w:tc>
      </w:tr>
      <w:tr w:rsidR="0099599B" w14:paraId="4B51A4F0" w14:textId="77777777">
        <w:trPr>
          <w:trHeight w:val="288"/>
        </w:trPr>
        <w:tc>
          <w:tcPr>
            <w:tcW w:w="3160" w:type="pct"/>
            <w:tcBorders>
              <w:top w:val="nil"/>
              <w:bottom w:val="nil"/>
              <w:right w:val="nil"/>
            </w:tcBorders>
            <w:shd w:val="clear" w:color="auto" w:fill="FCE4D6"/>
            <w:noWrap/>
            <w:vAlign w:val="bottom"/>
          </w:tcPr>
          <w:p w14:paraId="18F5D92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 fall in fish catch over past 10 years</w:t>
            </w:r>
          </w:p>
        </w:tc>
        <w:tc>
          <w:tcPr>
            <w:tcW w:w="1001" w:type="pct"/>
            <w:tcBorders>
              <w:top w:val="nil"/>
              <w:left w:val="nil"/>
              <w:bottom w:val="nil"/>
              <w:right w:val="single" w:sz="4" w:space="0" w:color="auto"/>
            </w:tcBorders>
            <w:noWrap/>
            <w:vAlign w:val="center"/>
          </w:tcPr>
          <w:p w14:paraId="2A996EFD"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B439901" w14:textId="77777777" w:rsidR="0099599B" w:rsidRDefault="0099599B">
            <w:pPr>
              <w:jc w:val="center"/>
              <w:rPr>
                <w:rFonts w:ascii="Calibri" w:hAnsi="Calibri" w:cs="Calibri"/>
                <w:color w:val="000000"/>
                <w:sz w:val="22"/>
                <w:szCs w:val="22"/>
              </w:rPr>
            </w:pPr>
          </w:p>
        </w:tc>
      </w:tr>
      <w:tr w:rsidR="0099599B" w14:paraId="0167B5CB" w14:textId="77777777">
        <w:trPr>
          <w:trHeight w:val="288"/>
        </w:trPr>
        <w:tc>
          <w:tcPr>
            <w:tcW w:w="3160" w:type="pct"/>
            <w:tcBorders>
              <w:top w:val="nil"/>
              <w:bottom w:val="nil"/>
              <w:right w:val="nil"/>
            </w:tcBorders>
            <w:shd w:val="clear" w:color="auto" w:fill="F8CBAD"/>
            <w:noWrap/>
            <w:vAlign w:val="bottom"/>
          </w:tcPr>
          <w:p w14:paraId="16316268"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Mean annual rainfall</w:t>
            </w:r>
          </w:p>
        </w:tc>
        <w:tc>
          <w:tcPr>
            <w:tcW w:w="1001" w:type="pct"/>
            <w:tcBorders>
              <w:top w:val="nil"/>
              <w:left w:val="nil"/>
              <w:bottom w:val="nil"/>
              <w:right w:val="single" w:sz="4" w:space="0" w:color="auto"/>
            </w:tcBorders>
            <w:noWrap/>
            <w:vAlign w:val="center"/>
          </w:tcPr>
          <w:p w14:paraId="7F98F3BD" w14:textId="77777777" w:rsidR="0099599B" w:rsidRDefault="00EB7A3F">
            <w:pPr>
              <w:textAlignment w:val="center"/>
              <w:rPr>
                <w:rFonts w:ascii="Calibri" w:hAnsi="Calibri" w:cs="Calibri"/>
                <w:color w:val="000000"/>
                <w:sz w:val="22"/>
                <w:szCs w:val="22"/>
              </w:rPr>
            </w:pPr>
            <w:r>
              <w:rPr>
                <w:rFonts w:ascii="Calibri" w:eastAsia="SimSun" w:hAnsi="Calibri" w:cs="Calibri"/>
                <w:color w:val="000000"/>
                <w:kern w:val="0"/>
                <w:sz w:val="22"/>
                <w:szCs w:val="22"/>
                <w:lang w:eastAsia="zh-CN" w:bidi="ar"/>
              </w:rPr>
              <w:t>Climate variability</w:t>
            </w:r>
          </w:p>
        </w:tc>
        <w:tc>
          <w:tcPr>
            <w:tcW w:w="838" w:type="pct"/>
            <w:vMerge/>
            <w:tcBorders>
              <w:top w:val="nil"/>
              <w:left w:val="single" w:sz="4" w:space="0" w:color="auto"/>
              <w:bottom w:val="nil"/>
            </w:tcBorders>
            <w:noWrap/>
            <w:vAlign w:val="center"/>
          </w:tcPr>
          <w:p w14:paraId="29CB9033" w14:textId="77777777" w:rsidR="0099599B" w:rsidRDefault="0099599B">
            <w:pPr>
              <w:jc w:val="center"/>
              <w:rPr>
                <w:rFonts w:ascii="Calibri" w:hAnsi="Calibri" w:cs="Calibri"/>
                <w:color w:val="000000"/>
                <w:sz w:val="22"/>
                <w:szCs w:val="22"/>
              </w:rPr>
            </w:pPr>
          </w:p>
        </w:tc>
      </w:tr>
      <w:tr w:rsidR="0099599B" w14:paraId="5880CF8E" w14:textId="77777777">
        <w:trPr>
          <w:trHeight w:val="288"/>
        </w:trPr>
        <w:tc>
          <w:tcPr>
            <w:tcW w:w="3160" w:type="pct"/>
            <w:tcBorders>
              <w:top w:val="nil"/>
              <w:bottom w:val="nil"/>
              <w:right w:val="nil"/>
            </w:tcBorders>
            <w:shd w:val="clear" w:color="auto" w:fill="F8CBAD"/>
            <w:noWrap/>
            <w:vAlign w:val="bottom"/>
          </w:tcPr>
          <w:p w14:paraId="02B5E83E"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Annual minimum temperature</w:t>
            </w:r>
          </w:p>
        </w:tc>
        <w:tc>
          <w:tcPr>
            <w:tcW w:w="1001" w:type="pct"/>
            <w:tcBorders>
              <w:top w:val="nil"/>
              <w:left w:val="nil"/>
              <w:bottom w:val="nil"/>
              <w:right w:val="single" w:sz="4" w:space="0" w:color="auto"/>
            </w:tcBorders>
            <w:noWrap/>
            <w:vAlign w:val="center"/>
          </w:tcPr>
          <w:p w14:paraId="179B4E8C"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C20FC6E" w14:textId="77777777" w:rsidR="0099599B" w:rsidRDefault="0099599B">
            <w:pPr>
              <w:jc w:val="center"/>
              <w:rPr>
                <w:rFonts w:ascii="Calibri" w:hAnsi="Calibri" w:cs="Calibri"/>
                <w:color w:val="000000"/>
                <w:sz w:val="22"/>
                <w:szCs w:val="22"/>
              </w:rPr>
            </w:pPr>
          </w:p>
        </w:tc>
      </w:tr>
      <w:tr w:rsidR="0099599B" w14:paraId="04E31F9D" w14:textId="77777777">
        <w:trPr>
          <w:trHeight w:val="288"/>
        </w:trPr>
        <w:tc>
          <w:tcPr>
            <w:tcW w:w="3160" w:type="pct"/>
            <w:tcBorders>
              <w:top w:val="nil"/>
              <w:bottom w:val="nil"/>
              <w:right w:val="nil"/>
            </w:tcBorders>
            <w:shd w:val="clear" w:color="auto" w:fill="F8CBAD"/>
            <w:noWrap/>
            <w:vAlign w:val="bottom"/>
          </w:tcPr>
          <w:p w14:paraId="60A75699"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Annual maximum temperature</w:t>
            </w:r>
          </w:p>
        </w:tc>
        <w:tc>
          <w:tcPr>
            <w:tcW w:w="1001" w:type="pct"/>
            <w:tcBorders>
              <w:top w:val="nil"/>
              <w:left w:val="nil"/>
              <w:bottom w:val="nil"/>
              <w:right w:val="single" w:sz="4" w:space="0" w:color="auto"/>
            </w:tcBorders>
            <w:noWrap/>
            <w:vAlign w:val="center"/>
          </w:tcPr>
          <w:p w14:paraId="0EB20786"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5ED74E49" w14:textId="77777777" w:rsidR="0099599B" w:rsidRDefault="0099599B">
            <w:pPr>
              <w:jc w:val="center"/>
              <w:rPr>
                <w:rFonts w:ascii="Calibri" w:hAnsi="Calibri" w:cs="Calibri"/>
                <w:color w:val="000000"/>
                <w:sz w:val="22"/>
                <w:szCs w:val="22"/>
              </w:rPr>
            </w:pPr>
          </w:p>
        </w:tc>
      </w:tr>
      <w:tr w:rsidR="0099599B" w14:paraId="16FE5445" w14:textId="77777777">
        <w:trPr>
          <w:trHeight w:val="288"/>
        </w:trPr>
        <w:tc>
          <w:tcPr>
            <w:tcW w:w="3160" w:type="pct"/>
            <w:tcBorders>
              <w:top w:val="nil"/>
              <w:bottom w:val="nil"/>
              <w:right w:val="nil"/>
            </w:tcBorders>
            <w:shd w:val="clear" w:color="auto" w:fill="F8CBAD"/>
            <w:noWrap/>
            <w:vAlign w:val="bottom"/>
          </w:tcPr>
          <w:p w14:paraId="18407C64"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Average number of Consecutive Dry Days (CDD)</w:t>
            </w:r>
          </w:p>
        </w:tc>
        <w:tc>
          <w:tcPr>
            <w:tcW w:w="1001" w:type="pct"/>
            <w:tcBorders>
              <w:top w:val="nil"/>
              <w:left w:val="nil"/>
              <w:bottom w:val="nil"/>
              <w:right w:val="single" w:sz="4" w:space="0" w:color="auto"/>
            </w:tcBorders>
            <w:noWrap/>
            <w:vAlign w:val="center"/>
          </w:tcPr>
          <w:p w14:paraId="7CF0BE33" w14:textId="77777777" w:rsidR="0099599B" w:rsidRDefault="0099599B">
            <w:pPr>
              <w:rPr>
                <w:rFonts w:ascii="Calibri" w:hAnsi="Calibri" w:cs="Calibri"/>
                <w:color w:val="000000"/>
                <w:sz w:val="22"/>
                <w:szCs w:val="22"/>
              </w:rPr>
            </w:pPr>
          </w:p>
        </w:tc>
        <w:tc>
          <w:tcPr>
            <w:tcW w:w="838" w:type="pct"/>
            <w:vMerge/>
            <w:tcBorders>
              <w:top w:val="nil"/>
              <w:left w:val="single" w:sz="4" w:space="0" w:color="auto"/>
              <w:bottom w:val="nil"/>
            </w:tcBorders>
            <w:noWrap/>
            <w:vAlign w:val="center"/>
          </w:tcPr>
          <w:p w14:paraId="3ABD9B5F" w14:textId="77777777" w:rsidR="0099599B" w:rsidRDefault="0099599B">
            <w:pPr>
              <w:jc w:val="center"/>
              <w:rPr>
                <w:rFonts w:ascii="Calibri" w:hAnsi="Calibri" w:cs="Calibri"/>
                <w:color w:val="000000"/>
                <w:sz w:val="22"/>
                <w:szCs w:val="22"/>
              </w:rPr>
            </w:pPr>
          </w:p>
        </w:tc>
      </w:tr>
      <w:tr w:rsidR="0099599B" w14:paraId="21CC730C" w14:textId="77777777">
        <w:trPr>
          <w:trHeight w:val="288"/>
        </w:trPr>
        <w:tc>
          <w:tcPr>
            <w:tcW w:w="3160" w:type="pct"/>
            <w:tcBorders>
              <w:top w:val="nil"/>
              <w:right w:val="nil"/>
            </w:tcBorders>
            <w:shd w:val="clear" w:color="auto" w:fill="F8CBAD"/>
            <w:noWrap/>
            <w:vAlign w:val="bottom"/>
          </w:tcPr>
          <w:p w14:paraId="35F39CDB" w14:textId="77777777" w:rsidR="0099599B" w:rsidRDefault="00EB7A3F">
            <w:pPr>
              <w:textAlignment w:val="bottom"/>
              <w:rPr>
                <w:rFonts w:ascii="Calibri" w:hAnsi="Calibri" w:cs="Calibri"/>
                <w:color w:val="000000"/>
                <w:sz w:val="22"/>
                <w:szCs w:val="22"/>
              </w:rPr>
            </w:pPr>
            <w:r>
              <w:rPr>
                <w:rFonts w:ascii="Calibri" w:eastAsia="SimSun" w:hAnsi="Calibri" w:cs="Calibri"/>
                <w:color w:val="000000"/>
                <w:kern w:val="0"/>
                <w:sz w:val="22"/>
                <w:szCs w:val="22"/>
                <w:lang w:eastAsia="zh-CN" w:bidi="ar"/>
              </w:rPr>
              <w:t>Average number of Consecutive Wet Days (CWD)</w:t>
            </w:r>
          </w:p>
        </w:tc>
        <w:tc>
          <w:tcPr>
            <w:tcW w:w="1001" w:type="pct"/>
            <w:tcBorders>
              <w:top w:val="nil"/>
              <w:left w:val="nil"/>
              <w:right w:val="single" w:sz="4" w:space="0" w:color="auto"/>
            </w:tcBorders>
            <w:noWrap/>
            <w:vAlign w:val="center"/>
          </w:tcPr>
          <w:p w14:paraId="5DD54377" w14:textId="77777777" w:rsidR="0099599B" w:rsidRDefault="0099599B">
            <w:pPr>
              <w:rPr>
                <w:rFonts w:ascii="Calibri" w:hAnsi="Calibri" w:cs="Calibri"/>
                <w:color w:val="000000"/>
                <w:sz w:val="22"/>
                <w:szCs w:val="22"/>
              </w:rPr>
            </w:pPr>
          </w:p>
        </w:tc>
        <w:tc>
          <w:tcPr>
            <w:tcW w:w="838" w:type="pct"/>
            <w:vMerge/>
            <w:tcBorders>
              <w:top w:val="nil"/>
              <w:left w:val="single" w:sz="4" w:space="0" w:color="auto"/>
            </w:tcBorders>
            <w:noWrap/>
            <w:vAlign w:val="center"/>
          </w:tcPr>
          <w:p w14:paraId="598A1820" w14:textId="77777777" w:rsidR="0099599B" w:rsidRDefault="0099599B">
            <w:pPr>
              <w:jc w:val="center"/>
              <w:rPr>
                <w:rFonts w:ascii="Calibri" w:hAnsi="Calibri" w:cs="Calibri"/>
                <w:color w:val="000000"/>
                <w:sz w:val="22"/>
                <w:szCs w:val="22"/>
              </w:rPr>
            </w:pPr>
          </w:p>
        </w:tc>
      </w:tr>
    </w:tbl>
    <w:p w14:paraId="3B664AA8" w14:textId="77777777" w:rsidR="0099599B" w:rsidRDefault="0099599B"/>
    <w:p w14:paraId="5E4AEAD1" w14:textId="77777777" w:rsidR="0099599B" w:rsidRDefault="0099599B"/>
    <w:p w14:paraId="7B1F4151" w14:textId="77777777" w:rsidR="0099599B" w:rsidRDefault="00EB7A3F">
      <w:pPr>
        <w:spacing w:after="0" w:line="240" w:lineRule="auto"/>
      </w:pPr>
      <w:r>
        <w:br w:type="page"/>
      </w:r>
    </w:p>
    <w:p w14:paraId="7919C81E" w14:textId="77777777" w:rsidR="0099599B" w:rsidRDefault="00EB7A3F">
      <w:pPr>
        <w:pStyle w:val="Heading2"/>
      </w:pPr>
      <w:bookmarkStart w:id="83" w:name="_Toc17410"/>
      <w:r>
        <w:lastRenderedPageBreak/>
        <w:t>Appendix 3 – Sectoral LVI Variables</w:t>
      </w:r>
      <w:bookmarkEnd w:id="83"/>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870"/>
        <w:gridCol w:w="1041"/>
      </w:tblGrid>
      <w:tr w:rsidR="0099599B" w14:paraId="5FE51400" w14:textId="77777777">
        <w:trPr>
          <w:trHeight w:val="300"/>
        </w:trPr>
        <w:tc>
          <w:tcPr>
            <w:tcW w:w="6663" w:type="dxa"/>
            <w:vMerge w:val="restart"/>
            <w:noWrap/>
            <w:vAlign w:val="bottom"/>
          </w:tcPr>
          <w:p w14:paraId="6D1F254D"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Variable</w:t>
            </w:r>
          </w:p>
        </w:tc>
        <w:tc>
          <w:tcPr>
            <w:tcW w:w="1814" w:type="dxa"/>
            <w:vMerge w:val="restart"/>
            <w:noWrap/>
            <w:vAlign w:val="center"/>
          </w:tcPr>
          <w:p w14:paraId="5EE6E54B" w14:textId="77777777" w:rsidR="0099599B" w:rsidRDefault="00EB7A3F">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Component</w:t>
            </w:r>
          </w:p>
        </w:tc>
        <w:tc>
          <w:tcPr>
            <w:tcW w:w="1041" w:type="dxa"/>
            <w:vMerge w:val="restart"/>
            <w:noWrap/>
            <w:vAlign w:val="center"/>
          </w:tcPr>
          <w:p w14:paraId="5AF764DB" w14:textId="77777777" w:rsidR="0099599B" w:rsidRDefault="00EB7A3F">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Count of Variables</w:t>
            </w:r>
          </w:p>
        </w:tc>
      </w:tr>
      <w:tr w:rsidR="0099599B" w14:paraId="5B923572" w14:textId="77777777">
        <w:trPr>
          <w:trHeight w:val="300"/>
        </w:trPr>
        <w:tc>
          <w:tcPr>
            <w:tcW w:w="6663" w:type="dxa"/>
            <w:vMerge/>
            <w:vAlign w:val="center"/>
          </w:tcPr>
          <w:p w14:paraId="723D3A29"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c>
          <w:tcPr>
            <w:tcW w:w="1814" w:type="dxa"/>
            <w:vMerge/>
            <w:vAlign w:val="center"/>
          </w:tcPr>
          <w:p w14:paraId="31ED21E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vMerge/>
            <w:vAlign w:val="center"/>
          </w:tcPr>
          <w:p w14:paraId="713A105A" w14:textId="77777777" w:rsidR="0099599B" w:rsidRDefault="0099599B">
            <w:pPr>
              <w:spacing w:after="0" w:line="240" w:lineRule="auto"/>
              <w:rPr>
                <w:rFonts w:ascii="Calibri" w:eastAsia="Times New Roman" w:hAnsi="Calibri" w:cs="Calibri"/>
                <w:color w:val="000000"/>
                <w:kern w:val="0"/>
                <w:sz w:val="22"/>
                <w:szCs w:val="22"/>
                <w14:ligatures w14:val="none"/>
              </w:rPr>
            </w:pPr>
          </w:p>
        </w:tc>
      </w:tr>
      <w:tr w:rsidR="0099599B" w14:paraId="4B66EE61" w14:textId="77777777">
        <w:trPr>
          <w:trHeight w:val="300"/>
        </w:trPr>
        <w:tc>
          <w:tcPr>
            <w:tcW w:w="6663" w:type="dxa"/>
            <w:noWrap/>
            <w:vAlign w:val="bottom"/>
          </w:tcPr>
          <w:p w14:paraId="13192DDC"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Health Sector</w:t>
            </w:r>
          </w:p>
        </w:tc>
        <w:tc>
          <w:tcPr>
            <w:tcW w:w="1814" w:type="dxa"/>
            <w:vMerge/>
            <w:vAlign w:val="center"/>
          </w:tcPr>
          <w:p w14:paraId="4801036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vMerge/>
            <w:vAlign w:val="center"/>
          </w:tcPr>
          <w:p w14:paraId="69ED3068" w14:textId="77777777" w:rsidR="0099599B" w:rsidRDefault="0099599B">
            <w:pPr>
              <w:spacing w:after="0" w:line="240" w:lineRule="auto"/>
              <w:rPr>
                <w:rFonts w:ascii="Calibri" w:eastAsia="Times New Roman" w:hAnsi="Calibri" w:cs="Calibri"/>
                <w:color w:val="000000"/>
                <w:kern w:val="0"/>
                <w:sz w:val="22"/>
                <w:szCs w:val="22"/>
                <w14:ligatures w14:val="none"/>
              </w:rPr>
            </w:pPr>
          </w:p>
        </w:tc>
      </w:tr>
      <w:tr w:rsidR="0099599B" w14:paraId="586F9433" w14:textId="77777777">
        <w:trPr>
          <w:trHeight w:val="300"/>
        </w:trPr>
        <w:tc>
          <w:tcPr>
            <w:tcW w:w="6663" w:type="dxa"/>
            <w:shd w:val="clear" w:color="000000" w:fill="E2EFDA"/>
            <w:noWrap/>
            <w:vAlign w:val="bottom"/>
          </w:tcPr>
          <w:p w14:paraId="46D3EEF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with no Education</w:t>
            </w:r>
          </w:p>
        </w:tc>
        <w:tc>
          <w:tcPr>
            <w:tcW w:w="1814" w:type="dxa"/>
            <w:noWrap/>
            <w:vAlign w:val="center"/>
          </w:tcPr>
          <w:p w14:paraId="4B83002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7BAA89A6"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652F6597" w14:textId="77777777">
        <w:trPr>
          <w:trHeight w:val="300"/>
        </w:trPr>
        <w:tc>
          <w:tcPr>
            <w:tcW w:w="6663" w:type="dxa"/>
            <w:shd w:val="clear" w:color="000000" w:fill="E2EFDA"/>
            <w:noWrap/>
            <w:vAlign w:val="bottom"/>
          </w:tcPr>
          <w:p w14:paraId="4B953BC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Unemployed</w:t>
            </w:r>
          </w:p>
        </w:tc>
        <w:tc>
          <w:tcPr>
            <w:tcW w:w="1814" w:type="dxa"/>
            <w:noWrap/>
            <w:vAlign w:val="center"/>
          </w:tcPr>
          <w:p w14:paraId="3722ED3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1F2A84D" w14:textId="77777777" w:rsidR="0099599B" w:rsidRDefault="0099599B">
            <w:pPr>
              <w:spacing w:after="0" w:line="240" w:lineRule="auto"/>
              <w:rPr>
                <w:rFonts w:eastAsia="Times New Roman"/>
                <w:kern w:val="0"/>
                <w:sz w:val="20"/>
                <w:szCs w:val="20"/>
                <w14:ligatures w14:val="none"/>
              </w:rPr>
            </w:pPr>
          </w:p>
        </w:tc>
      </w:tr>
      <w:tr w:rsidR="0099599B" w14:paraId="0C462FE3" w14:textId="77777777">
        <w:trPr>
          <w:trHeight w:val="300"/>
        </w:trPr>
        <w:tc>
          <w:tcPr>
            <w:tcW w:w="6663" w:type="dxa"/>
            <w:shd w:val="clear" w:color="000000" w:fill="C6E0B4"/>
            <w:noWrap/>
            <w:vAlign w:val="bottom"/>
          </w:tcPr>
          <w:p w14:paraId="665946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engaged in any secondary occupation</w:t>
            </w:r>
          </w:p>
        </w:tc>
        <w:tc>
          <w:tcPr>
            <w:tcW w:w="1814" w:type="dxa"/>
            <w:noWrap/>
            <w:vAlign w:val="center"/>
          </w:tcPr>
          <w:p w14:paraId="0A046E4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Strategies</w:t>
            </w:r>
          </w:p>
        </w:tc>
        <w:tc>
          <w:tcPr>
            <w:tcW w:w="1041" w:type="dxa"/>
            <w:noWrap/>
            <w:vAlign w:val="center"/>
          </w:tcPr>
          <w:p w14:paraId="6706D5D5"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590C50D5" w14:textId="77777777">
        <w:trPr>
          <w:trHeight w:val="300"/>
        </w:trPr>
        <w:tc>
          <w:tcPr>
            <w:tcW w:w="6663" w:type="dxa"/>
            <w:shd w:val="clear" w:color="000000" w:fill="C6E0B4"/>
            <w:noWrap/>
            <w:vAlign w:val="bottom"/>
          </w:tcPr>
          <w:p w14:paraId="7BA7D35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civil or government as only source of income</w:t>
            </w:r>
          </w:p>
        </w:tc>
        <w:tc>
          <w:tcPr>
            <w:tcW w:w="1814" w:type="dxa"/>
            <w:noWrap/>
            <w:vAlign w:val="center"/>
          </w:tcPr>
          <w:p w14:paraId="706342B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B042501" w14:textId="77777777" w:rsidR="0099599B" w:rsidRDefault="0099599B">
            <w:pPr>
              <w:spacing w:after="0" w:line="240" w:lineRule="auto"/>
              <w:rPr>
                <w:rFonts w:eastAsia="Times New Roman"/>
                <w:kern w:val="0"/>
                <w:sz w:val="20"/>
                <w:szCs w:val="20"/>
                <w14:ligatures w14:val="none"/>
              </w:rPr>
            </w:pPr>
          </w:p>
        </w:tc>
      </w:tr>
      <w:tr w:rsidR="0099599B" w14:paraId="461D36BF" w14:textId="77777777">
        <w:trPr>
          <w:trHeight w:val="300"/>
        </w:trPr>
        <w:tc>
          <w:tcPr>
            <w:tcW w:w="6663" w:type="dxa"/>
            <w:shd w:val="clear" w:color="000000" w:fill="C6E0B4"/>
            <w:noWrap/>
            <w:vAlign w:val="bottom"/>
          </w:tcPr>
          <w:p w14:paraId="4885E16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private sector (busisness) as only source of income</w:t>
            </w:r>
          </w:p>
        </w:tc>
        <w:tc>
          <w:tcPr>
            <w:tcW w:w="1814" w:type="dxa"/>
            <w:noWrap/>
            <w:vAlign w:val="center"/>
          </w:tcPr>
          <w:p w14:paraId="532621E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8F0BA04" w14:textId="77777777" w:rsidR="0099599B" w:rsidRDefault="0099599B">
            <w:pPr>
              <w:spacing w:after="0" w:line="240" w:lineRule="auto"/>
              <w:rPr>
                <w:rFonts w:eastAsia="Times New Roman"/>
                <w:kern w:val="0"/>
                <w:sz w:val="20"/>
                <w:szCs w:val="20"/>
                <w14:ligatures w14:val="none"/>
              </w:rPr>
            </w:pPr>
          </w:p>
        </w:tc>
      </w:tr>
      <w:tr w:rsidR="0099599B" w14:paraId="7BFE5DAA" w14:textId="77777777">
        <w:trPr>
          <w:trHeight w:val="300"/>
        </w:trPr>
        <w:tc>
          <w:tcPr>
            <w:tcW w:w="6663" w:type="dxa"/>
            <w:shd w:val="clear" w:color="000000" w:fill="C6E0B4"/>
            <w:noWrap/>
            <w:vAlign w:val="bottom"/>
          </w:tcPr>
          <w:p w14:paraId="69CA0AA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%Households without member working outside community</w:t>
            </w:r>
          </w:p>
        </w:tc>
        <w:tc>
          <w:tcPr>
            <w:tcW w:w="1814" w:type="dxa"/>
            <w:noWrap/>
            <w:vAlign w:val="center"/>
          </w:tcPr>
          <w:p w14:paraId="0706F37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0B71DC8" w14:textId="77777777" w:rsidR="0099599B" w:rsidRDefault="0099599B">
            <w:pPr>
              <w:spacing w:after="0" w:line="240" w:lineRule="auto"/>
              <w:rPr>
                <w:rFonts w:eastAsia="Times New Roman"/>
                <w:kern w:val="0"/>
                <w:sz w:val="20"/>
                <w:szCs w:val="20"/>
                <w14:ligatures w14:val="none"/>
              </w:rPr>
            </w:pPr>
          </w:p>
        </w:tc>
      </w:tr>
      <w:tr w:rsidR="0099599B" w14:paraId="77ABE9F8" w14:textId="77777777">
        <w:trPr>
          <w:trHeight w:val="300"/>
        </w:trPr>
        <w:tc>
          <w:tcPr>
            <w:tcW w:w="6663" w:type="dxa"/>
            <w:shd w:val="clear" w:color="000000" w:fill="C6E0B4"/>
            <w:noWrap/>
            <w:vAlign w:val="bottom"/>
          </w:tcPr>
          <w:p w14:paraId="685C450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36D2257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6F532D5" w14:textId="77777777" w:rsidR="0099599B" w:rsidRDefault="0099599B">
            <w:pPr>
              <w:spacing w:after="0" w:line="240" w:lineRule="auto"/>
              <w:rPr>
                <w:rFonts w:eastAsia="Times New Roman"/>
                <w:kern w:val="0"/>
                <w:sz w:val="20"/>
                <w:szCs w:val="20"/>
                <w14:ligatures w14:val="none"/>
              </w:rPr>
            </w:pPr>
          </w:p>
        </w:tc>
      </w:tr>
      <w:tr w:rsidR="0099599B" w14:paraId="73F73F96" w14:textId="77777777">
        <w:trPr>
          <w:trHeight w:val="300"/>
        </w:trPr>
        <w:tc>
          <w:tcPr>
            <w:tcW w:w="6663" w:type="dxa"/>
            <w:shd w:val="clear" w:color="000000" w:fill="C6E0B4"/>
            <w:noWrap/>
            <w:vAlign w:val="bottom"/>
          </w:tcPr>
          <w:p w14:paraId="193BD21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left due to climate/environmental changes in last 5 years?</w:t>
            </w:r>
          </w:p>
        </w:tc>
        <w:tc>
          <w:tcPr>
            <w:tcW w:w="1814" w:type="dxa"/>
            <w:noWrap/>
            <w:vAlign w:val="center"/>
          </w:tcPr>
          <w:p w14:paraId="26F6C37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B6B980" w14:textId="77777777" w:rsidR="0099599B" w:rsidRDefault="0099599B">
            <w:pPr>
              <w:spacing w:after="0" w:line="240" w:lineRule="auto"/>
              <w:rPr>
                <w:rFonts w:eastAsia="Times New Roman"/>
                <w:kern w:val="0"/>
                <w:sz w:val="20"/>
                <w:szCs w:val="20"/>
                <w14:ligatures w14:val="none"/>
              </w:rPr>
            </w:pPr>
          </w:p>
        </w:tc>
      </w:tr>
      <w:tr w:rsidR="0099599B" w14:paraId="0C1780AB" w14:textId="77777777">
        <w:trPr>
          <w:trHeight w:val="300"/>
        </w:trPr>
        <w:tc>
          <w:tcPr>
            <w:tcW w:w="6663" w:type="dxa"/>
            <w:shd w:val="clear" w:color="000000" w:fill="A9D08E"/>
            <w:noWrap/>
            <w:vAlign w:val="bottom"/>
          </w:tcPr>
          <w:p w14:paraId="6F4F406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4E6659E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4793CC75"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w:t>
            </w:r>
          </w:p>
        </w:tc>
      </w:tr>
      <w:tr w:rsidR="0099599B" w14:paraId="77D1F0FB" w14:textId="77777777">
        <w:trPr>
          <w:trHeight w:val="300"/>
        </w:trPr>
        <w:tc>
          <w:tcPr>
            <w:tcW w:w="6663" w:type="dxa"/>
            <w:shd w:val="clear" w:color="000000" w:fill="A9D08E"/>
            <w:noWrap/>
            <w:vAlign w:val="bottom"/>
          </w:tcPr>
          <w:p w14:paraId="7CAFE3A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aware of any gender association or organisation in their community</w:t>
            </w:r>
          </w:p>
        </w:tc>
        <w:tc>
          <w:tcPr>
            <w:tcW w:w="1814" w:type="dxa"/>
            <w:noWrap/>
            <w:vAlign w:val="center"/>
          </w:tcPr>
          <w:p w14:paraId="02BC8A9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61D299C" w14:textId="77777777" w:rsidR="0099599B" w:rsidRDefault="0099599B">
            <w:pPr>
              <w:spacing w:after="0" w:line="240" w:lineRule="auto"/>
              <w:rPr>
                <w:rFonts w:eastAsia="Times New Roman"/>
                <w:kern w:val="0"/>
                <w:sz w:val="20"/>
                <w:szCs w:val="20"/>
                <w14:ligatures w14:val="none"/>
              </w:rPr>
            </w:pPr>
          </w:p>
        </w:tc>
      </w:tr>
      <w:tr w:rsidR="0099599B" w14:paraId="57C77BC0" w14:textId="77777777">
        <w:trPr>
          <w:trHeight w:val="300"/>
        </w:trPr>
        <w:tc>
          <w:tcPr>
            <w:tcW w:w="6663" w:type="dxa"/>
            <w:shd w:val="clear" w:color="000000" w:fill="A9D08E"/>
            <w:noWrap/>
            <w:vAlign w:val="bottom"/>
          </w:tcPr>
          <w:p w14:paraId="4C16BD9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communities without there any gender  related government social interventions (e.g.,   LEAP, s </w:t>
            </w:r>
          </w:p>
        </w:tc>
        <w:tc>
          <w:tcPr>
            <w:tcW w:w="1814" w:type="dxa"/>
            <w:noWrap/>
            <w:vAlign w:val="center"/>
          </w:tcPr>
          <w:p w14:paraId="1F739BE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1319FAD" w14:textId="77777777" w:rsidR="0099599B" w:rsidRDefault="0099599B">
            <w:pPr>
              <w:spacing w:after="0" w:line="240" w:lineRule="auto"/>
              <w:rPr>
                <w:rFonts w:eastAsia="Times New Roman"/>
                <w:kern w:val="0"/>
                <w:sz w:val="20"/>
                <w:szCs w:val="20"/>
                <w14:ligatures w14:val="none"/>
              </w:rPr>
            </w:pPr>
          </w:p>
        </w:tc>
      </w:tr>
      <w:tr w:rsidR="0099599B" w14:paraId="4FC50CC0" w14:textId="77777777">
        <w:trPr>
          <w:trHeight w:val="300"/>
        </w:trPr>
        <w:tc>
          <w:tcPr>
            <w:tcW w:w="6663" w:type="dxa"/>
            <w:shd w:val="clear" w:color="000000" w:fill="A9D08E"/>
            <w:noWrap/>
            <w:vAlign w:val="bottom"/>
          </w:tcPr>
          <w:p w14:paraId="1AE34EA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1D4DA86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7422653" w14:textId="77777777" w:rsidR="0099599B" w:rsidRDefault="0099599B">
            <w:pPr>
              <w:spacing w:after="0" w:line="240" w:lineRule="auto"/>
              <w:rPr>
                <w:rFonts w:eastAsia="Times New Roman"/>
                <w:kern w:val="0"/>
                <w:sz w:val="20"/>
                <w:szCs w:val="20"/>
                <w14:ligatures w14:val="none"/>
              </w:rPr>
            </w:pPr>
          </w:p>
        </w:tc>
      </w:tr>
      <w:tr w:rsidR="0099599B" w14:paraId="7965E5B6" w14:textId="77777777">
        <w:trPr>
          <w:trHeight w:val="300"/>
        </w:trPr>
        <w:tc>
          <w:tcPr>
            <w:tcW w:w="6663" w:type="dxa"/>
            <w:shd w:val="clear" w:color="000000" w:fill="A9D08E"/>
            <w:noWrap/>
            <w:vAlign w:val="bottom"/>
          </w:tcPr>
          <w:p w14:paraId="5587105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398ADDB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F682526" w14:textId="77777777" w:rsidR="0099599B" w:rsidRDefault="0099599B">
            <w:pPr>
              <w:spacing w:after="0" w:line="240" w:lineRule="auto"/>
              <w:rPr>
                <w:rFonts w:eastAsia="Times New Roman"/>
                <w:kern w:val="0"/>
                <w:sz w:val="20"/>
                <w:szCs w:val="20"/>
                <w14:ligatures w14:val="none"/>
              </w:rPr>
            </w:pPr>
          </w:p>
        </w:tc>
      </w:tr>
      <w:tr w:rsidR="0099599B" w14:paraId="381C857E" w14:textId="77777777">
        <w:trPr>
          <w:trHeight w:val="300"/>
        </w:trPr>
        <w:tc>
          <w:tcPr>
            <w:tcW w:w="6663" w:type="dxa"/>
            <w:shd w:val="clear" w:color="000000" w:fill="A9D08E"/>
            <w:noWrap/>
            <w:vAlign w:val="bottom"/>
          </w:tcPr>
          <w:p w14:paraId="552A7F3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Government Organisation</w:t>
            </w:r>
          </w:p>
        </w:tc>
        <w:tc>
          <w:tcPr>
            <w:tcW w:w="1814" w:type="dxa"/>
            <w:noWrap/>
            <w:vAlign w:val="center"/>
          </w:tcPr>
          <w:p w14:paraId="5A5E28E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95334C6" w14:textId="77777777" w:rsidR="0099599B" w:rsidRDefault="0099599B">
            <w:pPr>
              <w:spacing w:after="0" w:line="240" w:lineRule="auto"/>
              <w:rPr>
                <w:rFonts w:eastAsia="Times New Roman"/>
                <w:kern w:val="0"/>
                <w:sz w:val="20"/>
                <w:szCs w:val="20"/>
                <w14:ligatures w14:val="none"/>
              </w:rPr>
            </w:pPr>
          </w:p>
        </w:tc>
      </w:tr>
      <w:tr w:rsidR="0099599B" w14:paraId="05AC3211" w14:textId="77777777">
        <w:trPr>
          <w:trHeight w:val="300"/>
        </w:trPr>
        <w:tc>
          <w:tcPr>
            <w:tcW w:w="6663" w:type="dxa"/>
            <w:shd w:val="clear" w:color="000000" w:fill="A9D08E"/>
            <w:noWrap/>
            <w:vAlign w:val="bottom"/>
          </w:tcPr>
          <w:p w14:paraId="393A0C6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credit</w:t>
            </w:r>
          </w:p>
        </w:tc>
        <w:tc>
          <w:tcPr>
            <w:tcW w:w="1814" w:type="dxa"/>
            <w:noWrap/>
            <w:vAlign w:val="center"/>
          </w:tcPr>
          <w:p w14:paraId="02FA151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F081F79" w14:textId="77777777" w:rsidR="0099599B" w:rsidRDefault="0099599B">
            <w:pPr>
              <w:spacing w:after="0" w:line="240" w:lineRule="auto"/>
              <w:rPr>
                <w:rFonts w:eastAsia="Times New Roman"/>
                <w:kern w:val="0"/>
                <w:sz w:val="20"/>
                <w:szCs w:val="20"/>
                <w14:ligatures w14:val="none"/>
              </w:rPr>
            </w:pPr>
          </w:p>
        </w:tc>
      </w:tr>
      <w:tr w:rsidR="0099599B" w14:paraId="7C6CD0C3" w14:textId="77777777">
        <w:trPr>
          <w:trHeight w:val="300"/>
        </w:trPr>
        <w:tc>
          <w:tcPr>
            <w:tcW w:w="6663" w:type="dxa"/>
            <w:shd w:val="clear" w:color="000000" w:fill="A9D08E"/>
            <w:noWrap/>
            <w:vAlign w:val="bottom"/>
          </w:tcPr>
          <w:p w14:paraId="3A0956C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13529DE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818F8C" w14:textId="77777777" w:rsidR="0099599B" w:rsidRDefault="0099599B">
            <w:pPr>
              <w:spacing w:after="0" w:line="240" w:lineRule="auto"/>
              <w:rPr>
                <w:rFonts w:eastAsia="Times New Roman"/>
                <w:kern w:val="0"/>
                <w:sz w:val="20"/>
                <w:szCs w:val="20"/>
                <w14:ligatures w14:val="none"/>
              </w:rPr>
            </w:pPr>
          </w:p>
        </w:tc>
      </w:tr>
      <w:tr w:rsidR="0099599B" w14:paraId="21AB7252" w14:textId="77777777">
        <w:trPr>
          <w:trHeight w:val="300"/>
        </w:trPr>
        <w:tc>
          <w:tcPr>
            <w:tcW w:w="6663" w:type="dxa"/>
            <w:shd w:val="clear" w:color="000000" w:fill="A9D08E"/>
            <w:noWrap/>
            <w:vAlign w:val="bottom"/>
          </w:tcPr>
          <w:p w14:paraId="7591C00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shd w:val="clear" w:color="000000" w:fill="FFC000"/>
            <w:noWrap/>
            <w:vAlign w:val="center"/>
          </w:tcPr>
          <w:p w14:paraId="73818C42"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4BEEC29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17</w:t>
            </w:r>
          </w:p>
        </w:tc>
      </w:tr>
      <w:tr w:rsidR="0099599B" w14:paraId="5F32DBF7" w14:textId="77777777">
        <w:trPr>
          <w:trHeight w:val="300"/>
        </w:trPr>
        <w:tc>
          <w:tcPr>
            <w:tcW w:w="6663" w:type="dxa"/>
            <w:shd w:val="clear" w:color="000000" w:fill="A9D08E"/>
            <w:noWrap/>
            <w:vAlign w:val="bottom"/>
          </w:tcPr>
          <w:p w14:paraId="494D835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3DB55CE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71B8F243"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3D6A405A" w14:textId="77777777">
        <w:trPr>
          <w:trHeight w:val="300"/>
        </w:trPr>
        <w:tc>
          <w:tcPr>
            <w:tcW w:w="6663" w:type="dxa"/>
            <w:shd w:val="clear" w:color="000000" w:fill="DDEBF7"/>
            <w:noWrap/>
            <w:vAlign w:val="bottom"/>
          </w:tcPr>
          <w:p w14:paraId="3D2D74A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 health facility in their communities</w:t>
            </w:r>
          </w:p>
        </w:tc>
        <w:tc>
          <w:tcPr>
            <w:tcW w:w="1814" w:type="dxa"/>
            <w:noWrap/>
            <w:vAlign w:val="center"/>
          </w:tcPr>
          <w:p w14:paraId="13E160B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Health Services</w:t>
            </w:r>
          </w:p>
        </w:tc>
        <w:tc>
          <w:tcPr>
            <w:tcW w:w="1041" w:type="dxa"/>
            <w:noWrap/>
            <w:vAlign w:val="center"/>
          </w:tcPr>
          <w:p w14:paraId="484941B3"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38C81714" w14:textId="77777777">
        <w:trPr>
          <w:trHeight w:val="300"/>
        </w:trPr>
        <w:tc>
          <w:tcPr>
            <w:tcW w:w="6663" w:type="dxa"/>
            <w:shd w:val="clear" w:color="000000" w:fill="DDEBF7"/>
            <w:noWrap/>
            <w:vAlign w:val="bottom"/>
          </w:tcPr>
          <w:p w14:paraId="30338BB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Minutes of travel to the nearest health facilities</w:t>
            </w:r>
          </w:p>
        </w:tc>
        <w:tc>
          <w:tcPr>
            <w:tcW w:w="1814" w:type="dxa"/>
            <w:noWrap/>
            <w:vAlign w:val="center"/>
          </w:tcPr>
          <w:p w14:paraId="4484EA1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A14532F" w14:textId="77777777" w:rsidR="0099599B" w:rsidRDefault="0099599B">
            <w:pPr>
              <w:spacing w:after="0" w:line="240" w:lineRule="auto"/>
              <w:rPr>
                <w:rFonts w:eastAsia="Times New Roman"/>
                <w:kern w:val="0"/>
                <w:sz w:val="20"/>
                <w:szCs w:val="20"/>
                <w14:ligatures w14:val="none"/>
              </w:rPr>
            </w:pPr>
          </w:p>
        </w:tc>
      </w:tr>
      <w:tr w:rsidR="0099599B" w14:paraId="36544876" w14:textId="77777777">
        <w:trPr>
          <w:trHeight w:val="300"/>
        </w:trPr>
        <w:tc>
          <w:tcPr>
            <w:tcW w:w="6663" w:type="dxa"/>
            <w:shd w:val="clear" w:color="000000" w:fill="DDEBF7"/>
            <w:noWrap/>
            <w:vAlign w:val="bottom"/>
          </w:tcPr>
          <w:p w14:paraId="6F2A2E6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health facilities in the community</w:t>
            </w:r>
          </w:p>
        </w:tc>
        <w:tc>
          <w:tcPr>
            <w:tcW w:w="1814" w:type="dxa"/>
            <w:noWrap/>
            <w:vAlign w:val="center"/>
          </w:tcPr>
          <w:p w14:paraId="40434B4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0ACF588" w14:textId="77777777" w:rsidR="0099599B" w:rsidRDefault="0099599B">
            <w:pPr>
              <w:spacing w:after="0" w:line="240" w:lineRule="auto"/>
              <w:rPr>
                <w:rFonts w:eastAsia="Times New Roman"/>
                <w:kern w:val="0"/>
                <w:sz w:val="20"/>
                <w:szCs w:val="20"/>
                <w14:ligatures w14:val="none"/>
              </w:rPr>
            </w:pPr>
          </w:p>
        </w:tc>
      </w:tr>
      <w:tr w:rsidR="0099599B" w14:paraId="2DB898AF" w14:textId="77777777">
        <w:trPr>
          <w:trHeight w:val="300"/>
        </w:trPr>
        <w:tc>
          <w:tcPr>
            <w:tcW w:w="6663" w:type="dxa"/>
            <w:shd w:val="clear" w:color="000000" w:fill="DDEBF7"/>
            <w:noWrap/>
            <w:vAlign w:val="bottom"/>
          </w:tcPr>
          <w:p w14:paraId="5A6C99A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the NHIS</w:t>
            </w:r>
          </w:p>
        </w:tc>
        <w:tc>
          <w:tcPr>
            <w:tcW w:w="1814" w:type="dxa"/>
            <w:noWrap/>
            <w:vAlign w:val="center"/>
          </w:tcPr>
          <w:p w14:paraId="134E894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6F485AA" w14:textId="77777777" w:rsidR="0099599B" w:rsidRDefault="0099599B">
            <w:pPr>
              <w:spacing w:after="0" w:line="240" w:lineRule="auto"/>
              <w:rPr>
                <w:rFonts w:eastAsia="Times New Roman"/>
                <w:kern w:val="0"/>
                <w:sz w:val="20"/>
                <w:szCs w:val="20"/>
                <w14:ligatures w14:val="none"/>
              </w:rPr>
            </w:pPr>
          </w:p>
        </w:tc>
      </w:tr>
      <w:tr w:rsidR="0099599B" w14:paraId="58067AF0" w14:textId="77777777">
        <w:trPr>
          <w:trHeight w:val="300"/>
        </w:trPr>
        <w:tc>
          <w:tcPr>
            <w:tcW w:w="6663" w:type="dxa"/>
            <w:shd w:val="clear" w:color="000000" w:fill="DDEBF7"/>
            <w:noWrap/>
            <w:vAlign w:val="bottom"/>
          </w:tcPr>
          <w:p w14:paraId="1DC647D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where a member missed work/school due to illness</w:t>
            </w:r>
          </w:p>
        </w:tc>
        <w:tc>
          <w:tcPr>
            <w:tcW w:w="1814" w:type="dxa"/>
            <w:noWrap/>
            <w:vAlign w:val="center"/>
          </w:tcPr>
          <w:p w14:paraId="5ABDF96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5152A59" w14:textId="77777777" w:rsidR="0099599B" w:rsidRDefault="0099599B">
            <w:pPr>
              <w:spacing w:after="0" w:line="240" w:lineRule="auto"/>
              <w:rPr>
                <w:rFonts w:eastAsia="Times New Roman"/>
                <w:kern w:val="0"/>
                <w:sz w:val="20"/>
                <w:szCs w:val="20"/>
                <w14:ligatures w14:val="none"/>
              </w:rPr>
            </w:pPr>
          </w:p>
        </w:tc>
      </w:tr>
      <w:tr w:rsidR="0099599B" w14:paraId="1889A6CB" w14:textId="77777777">
        <w:trPr>
          <w:trHeight w:val="300"/>
        </w:trPr>
        <w:tc>
          <w:tcPr>
            <w:tcW w:w="6663" w:type="dxa"/>
            <w:shd w:val="clear" w:color="000000" w:fill="BDD7EE"/>
            <w:noWrap/>
            <w:vAlign w:val="center"/>
          </w:tcPr>
          <w:p w14:paraId="0BA7248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whose houses or infrastructure been damanged by flood, erosion or strong winds in the past 5 years</w:t>
            </w:r>
          </w:p>
        </w:tc>
        <w:tc>
          <w:tcPr>
            <w:tcW w:w="1814" w:type="dxa"/>
            <w:noWrap/>
            <w:vAlign w:val="center"/>
          </w:tcPr>
          <w:p w14:paraId="263112A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Infrastructure for Healthcare</w:t>
            </w:r>
          </w:p>
        </w:tc>
        <w:tc>
          <w:tcPr>
            <w:tcW w:w="1041" w:type="dxa"/>
            <w:noWrap/>
            <w:vAlign w:val="center"/>
          </w:tcPr>
          <w:p w14:paraId="43A47E2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w:t>
            </w:r>
          </w:p>
        </w:tc>
      </w:tr>
      <w:tr w:rsidR="0099599B" w14:paraId="6234782F" w14:textId="77777777">
        <w:trPr>
          <w:trHeight w:val="300"/>
        </w:trPr>
        <w:tc>
          <w:tcPr>
            <w:tcW w:w="6663" w:type="dxa"/>
            <w:shd w:val="clear" w:color="000000" w:fill="BDD7EE"/>
            <w:noWrap/>
            <w:vAlign w:val="center"/>
          </w:tcPr>
          <w:p w14:paraId="73D08BC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road block or unusable roads during rains</w:t>
            </w:r>
          </w:p>
        </w:tc>
        <w:tc>
          <w:tcPr>
            <w:tcW w:w="1814" w:type="dxa"/>
            <w:noWrap/>
            <w:vAlign w:val="center"/>
          </w:tcPr>
          <w:p w14:paraId="228FC09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FDD272A" w14:textId="77777777" w:rsidR="0099599B" w:rsidRDefault="0099599B">
            <w:pPr>
              <w:spacing w:after="0" w:line="240" w:lineRule="auto"/>
              <w:rPr>
                <w:rFonts w:eastAsia="Times New Roman"/>
                <w:kern w:val="0"/>
                <w:sz w:val="20"/>
                <w:szCs w:val="20"/>
                <w14:ligatures w14:val="none"/>
              </w:rPr>
            </w:pPr>
          </w:p>
        </w:tc>
      </w:tr>
      <w:tr w:rsidR="0099599B" w14:paraId="219E78EE" w14:textId="77777777">
        <w:trPr>
          <w:trHeight w:val="300"/>
        </w:trPr>
        <w:tc>
          <w:tcPr>
            <w:tcW w:w="6663" w:type="dxa"/>
            <w:shd w:val="clear" w:color="000000" w:fill="BDD7EE"/>
            <w:noWrap/>
            <w:vAlign w:val="center"/>
          </w:tcPr>
          <w:p w14:paraId="11F37BB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disaster resilient infrastructure</w:t>
            </w:r>
          </w:p>
        </w:tc>
        <w:tc>
          <w:tcPr>
            <w:tcW w:w="1814" w:type="dxa"/>
            <w:noWrap/>
            <w:vAlign w:val="center"/>
          </w:tcPr>
          <w:p w14:paraId="44DDF0C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169C45A" w14:textId="77777777" w:rsidR="0099599B" w:rsidRDefault="0099599B">
            <w:pPr>
              <w:spacing w:after="0" w:line="240" w:lineRule="auto"/>
              <w:rPr>
                <w:rFonts w:eastAsia="Times New Roman"/>
                <w:kern w:val="0"/>
                <w:sz w:val="20"/>
                <w:szCs w:val="20"/>
                <w14:ligatures w14:val="none"/>
              </w:rPr>
            </w:pPr>
          </w:p>
        </w:tc>
      </w:tr>
      <w:tr w:rsidR="0099599B" w14:paraId="347AD3D5" w14:textId="77777777">
        <w:trPr>
          <w:trHeight w:val="300"/>
        </w:trPr>
        <w:tc>
          <w:tcPr>
            <w:tcW w:w="6663" w:type="dxa"/>
            <w:shd w:val="clear" w:color="000000" w:fill="BDD7EE"/>
            <w:noWrap/>
            <w:vAlign w:val="center"/>
          </w:tcPr>
          <w:p w14:paraId="5791F9D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good road network</w:t>
            </w:r>
          </w:p>
        </w:tc>
        <w:tc>
          <w:tcPr>
            <w:tcW w:w="1814" w:type="dxa"/>
            <w:noWrap/>
            <w:vAlign w:val="center"/>
          </w:tcPr>
          <w:p w14:paraId="162A432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E5E58A0" w14:textId="77777777" w:rsidR="0099599B" w:rsidRDefault="0099599B">
            <w:pPr>
              <w:spacing w:after="0" w:line="240" w:lineRule="auto"/>
              <w:rPr>
                <w:rFonts w:eastAsia="Times New Roman"/>
                <w:kern w:val="0"/>
                <w:sz w:val="20"/>
                <w:szCs w:val="20"/>
                <w14:ligatures w14:val="none"/>
              </w:rPr>
            </w:pPr>
          </w:p>
        </w:tc>
      </w:tr>
      <w:tr w:rsidR="0099599B" w14:paraId="3AFD8A2C" w14:textId="77777777">
        <w:trPr>
          <w:trHeight w:val="300"/>
        </w:trPr>
        <w:tc>
          <w:tcPr>
            <w:tcW w:w="6663" w:type="dxa"/>
            <w:shd w:val="clear" w:color="000000" w:fill="9BC2E6"/>
            <w:noWrap/>
            <w:vAlign w:val="center"/>
          </w:tcPr>
          <w:p w14:paraId="671D66D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coastsl storm warnings</w:t>
            </w:r>
          </w:p>
        </w:tc>
        <w:tc>
          <w:tcPr>
            <w:tcW w:w="1814" w:type="dxa"/>
            <w:noWrap/>
            <w:vAlign w:val="center"/>
          </w:tcPr>
          <w:p w14:paraId="6DFE7B5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56CE14B7"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61F78AE7" w14:textId="77777777">
        <w:trPr>
          <w:trHeight w:val="300"/>
        </w:trPr>
        <w:tc>
          <w:tcPr>
            <w:tcW w:w="6663" w:type="dxa"/>
            <w:shd w:val="clear" w:color="000000" w:fill="9BC2E6"/>
            <w:noWrap/>
            <w:vAlign w:val="center"/>
          </w:tcPr>
          <w:p w14:paraId="2BAA7DB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 km or less from shoreline</w:t>
            </w:r>
          </w:p>
        </w:tc>
        <w:tc>
          <w:tcPr>
            <w:tcW w:w="1814" w:type="dxa"/>
            <w:noWrap/>
            <w:vAlign w:val="center"/>
          </w:tcPr>
          <w:p w14:paraId="46A5DD7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42E5ECB" w14:textId="77777777" w:rsidR="0099599B" w:rsidRDefault="0099599B">
            <w:pPr>
              <w:spacing w:after="0" w:line="240" w:lineRule="auto"/>
              <w:rPr>
                <w:rFonts w:eastAsia="Times New Roman"/>
                <w:kern w:val="0"/>
                <w:sz w:val="20"/>
                <w:szCs w:val="20"/>
                <w14:ligatures w14:val="none"/>
              </w:rPr>
            </w:pPr>
          </w:p>
        </w:tc>
      </w:tr>
      <w:tr w:rsidR="0099599B" w14:paraId="47FF0645" w14:textId="77777777">
        <w:trPr>
          <w:trHeight w:val="300"/>
        </w:trPr>
        <w:tc>
          <w:tcPr>
            <w:tcW w:w="6663" w:type="dxa"/>
            <w:shd w:val="clear" w:color="000000" w:fill="9BC2E6"/>
            <w:noWrap/>
            <w:vAlign w:val="center"/>
          </w:tcPr>
          <w:p w14:paraId="7098B51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2D68A9F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34C7A5D" w14:textId="77777777" w:rsidR="0099599B" w:rsidRDefault="0099599B">
            <w:pPr>
              <w:spacing w:after="0" w:line="240" w:lineRule="auto"/>
              <w:rPr>
                <w:rFonts w:eastAsia="Times New Roman"/>
                <w:kern w:val="0"/>
                <w:sz w:val="20"/>
                <w:szCs w:val="20"/>
                <w14:ligatures w14:val="none"/>
              </w:rPr>
            </w:pPr>
          </w:p>
        </w:tc>
      </w:tr>
      <w:tr w:rsidR="0099599B" w14:paraId="6EA77828" w14:textId="77777777">
        <w:trPr>
          <w:trHeight w:val="300"/>
        </w:trPr>
        <w:tc>
          <w:tcPr>
            <w:tcW w:w="6663" w:type="dxa"/>
            <w:shd w:val="clear" w:color="000000" w:fill="BDD7EE"/>
            <w:noWrap/>
            <w:vAlign w:val="bottom"/>
          </w:tcPr>
          <w:p w14:paraId="1DA05FA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safe sanitation services</w:t>
            </w:r>
          </w:p>
        </w:tc>
        <w:tc>
          <w:tcPr>
            <w:tcW w:w="1814" w:type="dxa"/>
            <w:noWrap/>
            <w:vAlign w:val="center"/>
          </w:tcPr>
          <w:p w14:paraId="2C827AA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Sanitation</w:t>
            </w:r>
          </w:p>
        </w:tc>
        <w:tc>
          <w:tcPr>
            <w:tcW w:w="1041" w:type="dxa"/>
            <w:noWrap/>
            <w:vAlign w:val="center"/>
          </w:tcPr>
          <w:p w14:paraId="24A87BF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3E44B98F" w14:textId="77777777">
        <w:trPr>
          <w:trHeight w:val="300"/>
        </w:trPr>
        <w:tc>
          <w:tcPr>
            <w:tcW w:w="6663" w:type="dxa"/>
            <w:shd w:val="clear" w:color="000000" w:fill="BDD7EE"/>
            <w:noWrap/>
            <w:vAlign w:val="bottom"/>
          </w:tcPr>
          <w:p w14:paraId="29B98BC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public toilet facilitites in the community</w:t>
            </w:r>
          </w:p>
        </w:tc>
        <w:tc>
          <w:tcPr>
            <w:tcW w:w="1814" w:type="dxa"/>
            <w:noWrap/>
            <w:vAlign w:val="center"/>
          </w:tcPr>
          <w:p w14:paraId="4E34CEE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AF32E51" w14:textId="77777777" w:rsidR="0099599B" w:rsidRDefault="0099599B">
            <w:pPr>
              <w:spacing w:after="0" w:line="240" w:lineRule="auto"/>
              <w:rPr>
                <w:rFonts w:eastAsia="Times New Roman"/>
                <w:kern w:val="0"/>
                <w:sz w:val="20"/>
                <w:szCs w:val="20"/>
                <w14:ligatures w14:val="none"/>
              </w:rPr>
            </w:pPr>
          </w:p>
        </w:tc>
      </w:tr>
      <w:tr w:rsidR="0099599B" w14:paraId="31D49015" w14:textId="77777777">
        <w:trPr>
          <w:trHeight w:val="300"/>
        </w:trPr>
        <w:tc>
          <w:tcPr>
            <w:tcW w:w="6663" w:type="dxa"/>
            <w:shd w:val="clear" w:color="000000" w:fill="BDD7EE"/>
            <w:noWrap/>
            <w:vAlign w:val="bottom"/>
          </w:tcPr>
          <w:p w14:paraId="6D8F7E8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Without training/sensitization on climate related diseases</w:t>
            </w:r>
          </w:p>
        </w:tc>
        <w:tc>
          <w:tcPr>
            <w:tcW w:w="1814" w:type="dxa"/>
            <w:shd w:val="clear" w:color="000000" w:fill="FFC000"/>
            <w:noWrap/>
            <w:vAlign w:val="center"/>
          </w:tcPr>
          <w:p w14:paraId="34F54015"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3FA82D09"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15</w:t>
            </w:r>
          </w:p>
        </w:tc>
      </w:tr>
      <w:tr w:rsidR="0099599B" w14:paraId="64068C1D" w14:textId="77777777">
        <w:trPr>
          <w:trHeight w:val="300"/>
        </w:trPr>
        <w:tc>
          <w:tcPr>
            <w:tcW w:w="6663" w:type="dxa"/>
            <w:shd w:val="clear" w:color="000000" w:fill="BDD7EE"/>
            <w:noWrap/>
            <w:vAlign w:val="bottom"/>
          </w:tcPr>
          <w:p w14:paraId="42A838F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4A9F2710"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56AA72E4"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3FE61552" w14:textId="77777777">
        <w:trPr>
          <w:trHeight w:val="300"/>
        </w:trPr>
        <w:tc>
          <w:tcPr>
            <w:tcW w:w="6663" w:type="dxa"/>
            <w:shd w:val="clear" w:color="000000" w:fill="FCE4D6"/>
            <w:noWrap/>
            <w:vAlign w:val="center"/>
          </w:tcPr>
          <w:p w14:paraId="6A3A14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51433F2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1BDB1CA1"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7</w:t>
            </w:r>
          </w:p>
        </w:tc>
      </w:tr>
      <w:tr w:rsidR="0099599B" w14:paraId="588C2C41" w14:textId="77777777">
        <w:trPr>
          <w:trHeight w:val="300"/>
        </w:trPr>
        <w:tc>
          <w:tcPr>
            <w:tcW w:w="6663" w:type="dxa"/>
            <w:shd w:val="clear" w:color="000000" w:fill="FCE4D6"/>
            <w:noWrap/>
            <w:vAlign w:val="center"/>
          </w:tcPr>
          <w:p w14:paraId="78CCB38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6010C3A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E2E7D5C" w14:textId="77777777" w:rsidR="0099599B" w:rsidRDefault="0099599B">
            <w:pPr>
              <w:spacing w:after="0" w:line="240" w:lineRule="auto"/>
              <w:rPr>
                <w:rFonts w:eastAsia="Times New Roman"/>
                <w:kern w:val="0"/>
                <w:sz w:val="20"/>
                <w:szCs w:val="20"/>
                <w14:ligatures w14:val="none"/>
              </w:rPr>
            </w:pPr>
          </w:p>
        </w:tc>
      </w:tr>
      <w:tr w:rsidR="0099599B" w14:paraId="4A59215D" w14:textId="77777777">
        <w:trPr>
          <w:trHeight w:val="300"/>
        </w:trPr>
        <w:tc>
          <w:tcPr>
            <w:tcW w:w="6663" w:type="dxa"/>
            <w:shd w:val="clear" w:color="000000" w:fill="FCE4D6"/>
            <w:noWrap/>
            <w:vAlign w:val="center"/>
          </w:tcPr>
          <w:p w14:paraId="148AA0F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forest pest and disease outbreak</w:t>
            </w:r>
          </w:p>
        </w:tc>
        <w:tc>
          <w:tcPr>
            <w:tcW w:w="1814" w:type="dxa"/>
            <w:noWrap/>
            <w:vAlign w:val="center"/>
          </w:tcPr>
          <w:p w14:paraId="254D038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68D6B46" w14:textId="77777777" w:rsidR="0099599B" w:rsidRDefault="0099599B">
            <w:pPr>
              <w:spacing w:after="0" w:line="240" w:lineRule="auto"/>
              <w:rPr>
                <w:rFonts w:eastAsia="Times New Roman"/>
                <w:kern w:val="0"/>
                <w:sz w:val="20"/>
                <w:szCs w:val="20"/>
                <w14:ligatures w14:val="none"/>
              </w:rPr>
            </w:pPr>
          </w:p>
        </w:tc>
      </w:tr>
      <w:tr w:rsidR="0099599B" w14:paraId="61D4A814" w14:textId="77777777">
        <w:trPr>
          <w:trHeight w:val="300"/>
        </w:trPr>
        <w:tc>
          <w:tcPr>
            <w:tcW w:w="6663" w:type="dxa"/>
            <w:shd w:val="clear" w:color="000000" w:fill="FCE4D6"/>
            <w:noWrap/>
            <w:vAlign w:val="center"/>
          </w:tcPr>
          <w:p w14:paraId="5861CAD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Number of forest fires  have occurred in this community since 10 years ago </w:t>
            </w:r>
          </w:p>
        </w:tc>
        <w:tc>
          <w:tcPr>
            <w:tcW w:w="1814" w:type="dxa"/>
            <w:noWrap/>
            <w:vAlign w:val="center"/>
          </w:tcPr>
          <w:p w14:paraId="3AAEB28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B04CA60" w14:textId="77777777" w:rsidR="0099599B" w:rsidRDefault="0099599B">
            <w:pPr>
              <w:spacing w:after="0" w:line="240" w:lineRule="auto"/>
              <w:rPr>
                <w:rFonts w:eastAsia="Times New Roman"/>
                <w:kern w:val="0"/>
                <w:sz w:val="20"/>
                <w:szCs w:val="20"/>
                <w14:ligatures w14:val="none"/>
              </w:rPr>
            </w:pPr>
          </w:p>
        </w:tc>
      </w:tr>
      <w:tr w:rsidR="0099599B" w14:paraId="21AEAC4D" w14:textId="77777777">
        <w:trPr>
          <w:trHeight w:val="300"/>
        </w:trPr>
        <w:tc>
          <w:tcPr>
            <w:tcW w:w="6663" w:type="dxa"/>
            <w:shd w:val="clear" w:color="000000" w:fill="FCE4D6"/>
            <w:noWrap/>
            <w:vAlign w:val="center"/>
          </w:tcPr>
          <w:p w14:paraId="3640F3F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74DCF9E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C6B7685" w14:textId="77777777" w:rsidR="0099599B" w:rsidRDefault="0099599B">
            <w:pPr>
              <w:spacing w:after="0" w:line="240" w:lineRule="auto"/>
              <w:rPr>
                <w:rFonts w:eastAsia="Times New Roman"/>
                <w:kern w:val="0"/>
                <w:sz w:val="20"/>
                <w:szCs w:val="20"/>
                <w14:ligatures w14:val="none"/>
              </w:rPr>
            </w:pPr>
          </w:p>
        </w:tc>
      </w:tr>
      <w:tr w:rsidR="0099599B" w14:paraId="1D49099D" w14:textId="77777777">
        <w:trPr>
          <w:trHeight w:val="300"/>
        </w:trPr>
        <w:tc>
          <w:tcPr>
            <w:tcW w:w="6663" w:type="dxa"/>
            <w:shd w:val="clear" w:color="000000" w:fill="FCE4D6"/>
            <w:noWrap/>
            <w:vAlign w:val="center"/>
          </w:tcPr>
          <w:p w14:paraId="4514D39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4B06755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1CF6B02" w14:textId="77777777" w:rsidR="0099599B" w:rsidRDefault="0099599B">
            <w:pPr>
              <w:spacing w:after="0" w:line="240" w:lineRule="auto"/>
              <w:rPr>
                <w:rFonts w:eastAsia="Times New Roman"/>
                <w:kern w:val="0"/>
                <w:sz w:val="20"/>
                <w:szCs w:val="20"/>
                <w14:ligatures w14:val="none"/>
              </w:rPr>
            </w:pPr>
          </w:p>
        </w:tc>
      </w:tr>
      <w:tr w:rsidR="0099599B" w14:paraId="62BC9F27" w14:textId="77777777">
        <w:trPr>
          <w:trHeight w:val="300"/>
        </w:trPr>
        <w:tc>
          <w:tcPr>
            <w:tcW w:w="6663" w:type="dxa"/>
            <w:shd w:val="clear" w:color="000000" w:fill="FCE4D6"/>
            <w:noWrap/>
            <w:vAlign w:val="center"/>
          </w:tcPr>
          <w:p w14:paraId="1602965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7C4F4ED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98F8A63" w14:textId="77777777" w:rsidR="0099599B" w:rsidRDefault="0099599B">
            <w:pPr>
              <w:spacing w:after="0" w:line="240" w:lineRule="auto"/>
              <w:rPr>
                <w:rFonts w:eastAsia="Times New Roman"/>
                <w:kern w:val="0"/>
                <w:sz w:val="20"/>
                <w:szCs w:val="20"/>
                <w14:ligatures w14:val="none"/>
              </w:rPr>
            </w:pPr>
          </w:p>
        </w:tc>
      </w:tr>
      <w:tr w:rsidR="0099599B" w14:paraId="24EFA44F" w14:textId="77777777">
        <w:trPr>
          <w:trHeight w:val="300"/>
        </w:trPr>
        <w:tc>
          <w:tcPr>
            <w:tcW w:w="6663" w:type="dxa"/>
            <w:shd w:val="clear" w:color="000000" w:fill="F8CBAD"/>
            <w:noWrap/>
            <w:vAlign w:val="center"/>
          </w:tcPr>
          <w:p w14:paraId="793274E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1FBCBF8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270C7BA1"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2D85FA8E" w14:textId="77777777">
        <w:trPr>
          <w:trHeight w:val="300"/>
        </w:trPr>
        <w:tc>
          <w:tcPr>
            <w:tcW w:w="6663" w:type="dxa"/>
            <w:shd w:val="clear" w:color="000000" w:fill="F8CBAD"/>
            <w:noWrap/>
            <w:vAlign w:val="center"/>
          </w:tcPr>
          <w:p w14:paraId="187F35D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6341CD2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E682CA7" w14:textId="77777777" w:rsidR="0099599B" w:rsidRDefault="0099599B">
            <w:pPr>
              <w:spacing w:after="0" w:line="240" w:lineRule="auto"/>
              <w:rPr>
                <w:rFonts w:eastAsia="Times New Roman"/>
                <w:kern w:val="0"/>
                <w:sz w:val="20"/>
                <w:szCs w:val="20"/>
                <w14:ligatures w14:val="none"/>
              </w:rPr>
            </w:pPr>
          </w:p>
        </w:tc>
      </w:tr>
      <w:tr w:rsidR="0099599B" w14:paraId="0986FDCD" w14:textId="77777777">
        <w:trPr>
          <w:trHeight w:val="300"/>
        </w:trPr>
        <w:tc>
          <w:tcPr>
            <w:tcW w:w="6663" w:type="dxa"/>
            <w:shd w:val="clear" w:color="000000" w:fill="F8CBAD"/>
            <w:noWrap/>
            <w:vAlign w:val="center"/>
          </w:tcPr>
          <w:p w14:paraId="07E9E50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3304871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FBFBB73" w14:textId="77777777" w:rsidR="0099599B" w:rsidRDefault="0099599B">
            <w:pPr>
              <w:spacing w:after="0" w:line="240" w:lineRule="auto"/>
              <w:rPr>
                <w:rFonts w:eastAsia="Times New Roman"/>
                <w:kern w:val="0"/>
                <w:sz w:val="20"/>
                <w:szCs w:val="20"/>
                <w14:ligatures w14:val="none"/>
              </w:rPr>
            </w:pPr>
          </w:p>
        </w:tc>
      </w:tr>
      <w:tr w:rsidR="0099599B" w14:paraId="11FE171D" w14:textId="77777777">
        <w:trPr>
          <w:trHeight w:val="300"/>
        </w:trPr>
        <w:tc>
          <w:tcPr>
            <w:tcW w:w="6663" w:type="dxa"/>
            <w:shd w:val="clear" w:color="000000" w:fill="F8CBAD"/>
            <w:noWrap/>
            <w:vAlign w:val="center"/>
          </w:tcPr>
          <w:p w14:paraId="1AC35ED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541A2EE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B85403D" w14:textId="77777777" w:rsidR="0099599B" w:rsidRDefault="0099599B">
            <w:pPr>
              <w:spacing w:after="0" w:line="240" w:lineRule="auto"/>
              <w:rPr>
                <w:rFonts w:eastAsia="Times New Roman"/>
                <w:kern w:val="0"/>
                <w:sz w:val="20"/>
                <w:szCs w:val="20"/>
                <w14:ligatures w14:val="none"/>
              </w:rPr>
            </w:pPr>
          </w:p>
        </w:tc>
      </w:tr>
      <w:tr w:rsidR="0099599B" w14:paraId="6BC24C30" w14:textId="77777777">
        <w:trPr>
          <w:trHeight w:val="300"/>
        </w:trPr>
        <w:tc>
          <w:tcPr>
            <w:tcW w:w="6663" w:type="dxa"/>
            <w:shd w:val="clear" w:color="000000" w:fill="F8CBAD"/>
            <w:noWrap/>
            <w:vAlign w:val="center"/>
          </w:tcPr>
          <w:p w14:paraId="5BC97AC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shd w:val="clear" w:color="000000" w:fill="FFC000"/>
            <w:noWrap/>
            <w:vAlign w:val="center"/>
          </w:tcPr>
          <w:p w14:paraId="5B788D9E"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3ADDD85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12</w:t>
            </w:r>
          </w:p>
        </w:tc>
      </w:tr>
      <w:tr w:rsidR="0099599B" w14:paraId="5B304B3E" w14:textId="77777777">
        <w:trPr>
          <w:trHeight w:val="300"/>
        </w:trPr>
        <w:tc>
          <w:tcPr>
            <w:tcW w:w="6663" w:type="dxa"/>
            <w:noWrap/>
            <w:vAlign w:val="center"/>
          </w:tcPr>
          <w:p w14:paraId="17F1B691" w14:textId="77777777" w:rsidR="0099599B" w:rsidRDefault="0099599B">
            <w:pPr>
              <w:spacing w:after="0" w:line="240" w:lineRule="auto"/>
              <w:jc w:val="right"/>
              <w:rPr>
                <w:rFonts w:ascii="Calibri" w:eastAsia="Times New Roman" w:hAnsi="Calibri" w:cs="Calibri"/>
                <w:color w:val="000000"/>
                <w:kern w:val="0"/>
                <w:sz w:val="22"/>
                <w:szCs w:val="22"/>
                <w14:ligatures w14:val="none"/>
              </w:rPr>
            </w:pPr>
          </w:p>
        </w:tc>
        <w:tc>
          <w:tcPr>
            <w:tcW w:w="1814" w:type="dxa"/>
            <w:noWrap/>
            <w:vAlign w:val="center"/>
          </w:tcPr>
          <w:p w14:paraId="2EF58629"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1C289030" w14:textId="77777777" w:rsidR="0099599B" w:rsidRDefault="0099599B">
            <w:pPr>
              <w:spacing w:after="0" w:line="240" w:lineRule="auto"/>
              <w:rPr>
                <w:rFonts w:eastAsia="Times New Roman"/>
                <w:kern w:val="0"/>
                <w:sz w:val="20"/>
                <w:szCs w:val="20"/>
                <w14:ligatures w14:val="none"/>
              </w:rPr>
            </w:pPr>
          </w:p>
        </w:tc>
      </w:tr>
      <w:tr w:rsidR="0099599B" w14:paraId="31745BD9" w14:textId="77777777">
        <w:trPr>
          <w:trHeight w:val="300"/>
        </w:trPr>
        <w:tc>
          <w:tcPr>
            <w:tcW w:w="6663" w:type="dxa"/>
            <w:noWrap/>
            <w:vAlign w:val="center"/>
          </w:tcPr>
          <w:p w14:paraId="66C36023" w14:textId="77777777" w:rsidR="0099599B" w:rsidRDefault="0099599B">
            <w:pPr>
              <w:spacing w:after="0" w:line="240" w:lineRule="auto"/>
              <w:rPr>
                <w:rFonts w:eastAsia="Times New Roman"/>
                <w:kern w:val="0"/>
                <w:sz w:val="20"/>
                <w:szCs w:val="20"/>
                <w14:ligatures w14:val="none"/>
              </w:rPr>
            </w:pPr>
          </w:p>
        </w:tc>
        <w:tc>
          <w:tcPr>
            <w:tcW w:w="1814" w:type="dxa"/>
            <w:noWrap/>
            <w:vAlign w:val="center"/>
          </w:tcPr>
          <w:p w14:paraId="704C1E04"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33287099" w14:textId="77777777" w:rsidR="0099599B" w:rsidRDefault="0099599B">
            <w:pPr>
              <w:spacing w:after="0" w:line="240" w:lineRule="auto"/>
              <w:rPr>
                <w:rFonts w:eastAsia="Times New Roman"/>
                <w:kern w:val="0"/>
                <w:sz w:val="20"/>
                <w:szCs w:val="20"/>
                <w14:ligatures w14:val="none"/>
              </w:rPr>
            </w:pPr>
          </w:p>
        </w:tc>
      </w:tr>
      <w:tr w:rsidR="0099599B" w14:paraId="18C0AA15" w14:textId="77777777">
        <w:trPr>
          <w:trHeight w:val="300"/>
        </w:trPr>
        <w:tc>
          <w:tcPr>
            <w:tcW w:w="6663" w:type="dxa"/>
            <w:noWrap/>
            <w:vAlign w:val="bottom"/>
          </w:tcPr>
          <w:p w14:paraId="57F46B7F"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Infrastructure and Housing Sector</w:t>
            </w:r>
          </w:p>
        </w:tc>
        <w:tc>
          <w:tcPr>
            <w:tcW w:w="1814" w:type="dxa"/>
            <w:noWrap/>
            <w:vAlign w:val="center"/>
          </w:tcPr>
          <w:p w14:paraId="56CCD4E8" w14:textId="77777777" w:rsidR="0099599B" w:rsidRDefault="0099599B">
            <w:pPr>
              <w:spacing w:after="0" w:line="240" w:lineRule="auto"/>
              <w:jc w:val="center"/>
              <w:rPr>
                <w:rFonts w:ascii="Calibri" w:eastAsia="Times New Roman" w:hAnsi="Calibri" w:cs="Calibri"/>
                <w:b/>
                <w:bCs/>
                <w:color w:val="000000"/>
                <w:kern w:val="0"/>
                <w:sz w:val="22"/>
                <w:szCs w:val="22"/>
                <w14:ligatures w14:val="none"/>
              </w:rPr>
            </w:pPr>
          </w:p>
        </w:tc>
        <w:tc>
          <w:tcPr>
            <w:tcW w:w="1041" w:type="dxa"/>
            <w:noWrap/>
            <w:vAlign w:val="center"/>
          </w:tcPr>
          <w:p w14:paraId="0B10A618" w14:textId="77777777" w:rsidR="0099599B" w:rsidRDefault="0099599B">
            <w:pPr>
              <w:spacing w:after="0" w:line="240" w:lineRule="auto"/>
              <w:rPr>
                <w:rFonts w:eastAsia="Times New Roman"/>
                <w:kern w:val="0"/>
                <w:sz w:val="20"/>
                <w:szCs w:val="20"/>
                <w14:ligatures w14:val="none"/>
              </w:rPr>
            </w:pPr>
          </w:p>
        </w:tc>
      </w:tr>
      <w:tr w:rsidR="0099599B" w14:paraId="600EA9BE" w14:textId="77777777">
        <w:trPr>
          <w:trHeight w:val="300"/>
        </w:trPr>
        <w:tc>
          <w:tcPr>
            <w:tcW w:w="6663" w:type="dxa"/>
            <w:shd w:val="clear" w:color="000000" w:fill="E2EFDA"/>
            <w:noWrap/>
            <w:vAlign w:val="bottom"/>
          </w:tcPr>
          <w:p w14:paraId="3249A66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with no Education</w:t>
            </w:r>
          </w:p>
        </w:tc>
        <w:tc>
          <w:tcPr>
            <w:tcW w:w="1814" w:type="dxa"/>
            <w:noWrap/>
            <w:vAlign w:val="center"/>
          </w:tcPr>
          <w:p w14:paraId="4E8238F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74CFB98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5AE28B49" w14:textId="77777777">
        <w:trPr>
          <w:trHeight w:val="300"/>
        </w:trPr>
        <w:tc>
          <w:tcPr>
            <w:tcW w:w="6663" w:type="dxa"/>
            <w:shd w:val="clear" w:color="000000" w:fill="E2EFDA"/>
            <w:noWrap/>
            <w:vAlign w:val="bottom"/>
          </w:tcPr>
          <w:p w14:paraId="2D92D58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Unemployed</w:t>
            </w:r>
          </w:p>
        </w:tc>
        <w:tc>
          <w:tcPr>
            <w:tcW w:w="1814" w:type="dxa"/>
            <w:noWrap/>
            <w:vAlign w:val="center"/>
          </w:tcPr>
          <w:p w14:paraId="7516B7B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393DF1A" w14:textId="77777777" w:rsidR="0099599B" w:rsidRDefault="0099599B">
            <w:pPr>
              <w:spacing w:after="0" w:line="240" w:lineRule="auto"/>
              <w:rPr>
                <w:rFonts w:eastAsia="Times New Roman"/>
                <w:kern w:val="0"/>
                <w:sz w:val="20"/>
                <w:szCs w:val="20"/>
                <w14:ligatures w14:val="none"/>
              </w:rPr>
            </w:pPr>
          </w:p>
        </w:tc>
      </w:tr>
      <w:tr w:rsidR="0099599B" w14:paraId="5416CA74" w14:textId="77777777">
        <w:trPr>
          <w:trHeight w:val="300"/>
        </w:trPr>
        <w:tc>
          <w:tcPr>
            <w:tcW w:w="6663" w:type="dxa"/>
            <w:shd w:val="clear" w:color="000000" w:fill="C6E0B4"/>
            <w:noWrap/>
            <w:vAlign w:val="bottom"/>
          </w:tcPr>
          <w:p w14:paraId="40065B1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engaged in any secondary occupation</w:t>
            </w:r>
          </w:p>
        </w:tc>
        <w:tc>
          <w:tcPr>
            <w:tcW w:w="1814" w:type="dxa"/>
            <w:noWrap/>
            <w:vAlign w:val="center"/>
          </w:tcPr>
          <w:p w14:paraId="4EE2617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w:t>
            </w:r>
          </w:p>
        </w:tc>
        <w:tc>
          <w:tcPr>
            <w:tcW w:w="1041" w:type="dxa"/>
            <w:noWrap/>
            <w:vAlign w:val="center"/>
          </w:tcPr>
          <w:p w14:paraId="5DC11A32" w14:textId="77777777" w:rsidR="0099599B" w:rsidRDefault="0099599B">
            <w:pPr>
              <w:spacing w:after="0" w:line="240" w:lineRule="auto"/>
              <w:rPr>
                <w:rFonts w:ascii="Calibri" w:eastAsia="Times New Roman" w:hAnsi="Calibri" w:cs="Calibri"/>
                <w:color w:val="000000"/>
                <w:kern w:val="0"/>
                <w:sz w:val="22"/>
                <w:szCs w:val="22"/>
                <w14:ligatures w14:val="none"/>
              </w:rPr>
            </w:pPr>
          </w:p>
        </w:tc>
      </w:tr>
      <w:tr w:rsidR="0099599B" w14:paraId="729AACBA" w14:textId="77777777">
        <w:trPr>
          <w:trHeight w:val="300"/>
        </w:trPr>
        <w:tc>
          <w:tcPr>
            <w:tcW w:w="6663" w:type="dxa"/>
            <w:shd w:val="clear" w:color="000000" w:fill="C6E0B4"/>
            <w:noWrap/>
            <w:vAlign w:val="bottom"/>
          </w:tcPr>
          <w:p w14:paraId="0961994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civil or government as only source of income</w:t>
            </w:r>
          </w:p>
        </w:tc>
        <w:tc>
          <w:tcPr>
            <w:tcW w:w="1814" w:type="dxa"/>
            <w:noWrap/>
            <w:vAlign w:val="center"/>
          </w:tcPr>
          <w:p w14:paraId="0041600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70CD6D6"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6F9330C5" w14:textId="77777777">
        <w:trPr>
          <w:trHeight w:val="300"/>
        </w:trPr>
        <w:tc>
          <w:tcPr>
            <w:tcW w:w="6663" w:type="dxa"/>
            <w:shd w:val="clear" w:color="000000" w:fill="C6E0B4"/>
            <w:noWrap/>
            <w:vAlign w:val="bottom"/>
          </w:tcPr>
          <w:p w14:paraId="32E153C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private sector (busisness) as only source of income</w:t>
            </w:r>
          </w:p>
        </w:tc>
        <w:tc>
          <w:tcPr>
            <w:tcW w:w="1814" w:type="dxa"/>
            <w:noWrap/>
            <w:vAlign w:val="center"/>
          </w:tcPr>
          <w:p w14:paraId="0956FA7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8D28708" w14:textId="77777777" w:rsidR="0099599B" w:rsidRDefault="0099599B">
            <w:pPr>
              <w:spacing w:after="0" w:line="240" w:lineRule="auto"/>
              <w:rPr>
                <w:rFonts w:eastAsia="Times New Roman"/>
                <w:kern w:val="0"/>
                <w:sz w:val="20"/>
                <w:szCs w:val="20"/>
                <w14:ligatures w14:val="none"/>
              </w:rPr>
            </w:pPr>
          </w:p>
        </w:tc>
      </w:tr>
      <w:tr w:rsidR="0099599B" w14:paraId="4B3467BF" w14:textId="77777777">
        <w:trPr>
          <w:trHeight w:val="300"/>
        </w:trPr>
        <w:tc>
          <w:tcPr>
            <w:tcW w:w="6663" w:type="dxa"/>
            <w:shd w:val="clear" w:color="000000" w:fill="C6E0B4"/>
            <w:noWrap/>
            <w:vAlign w:val="bottom"/>
          </w:tcPr>
          <w:p w14:paraId="7CC2E0D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%Households without member working outside community</w:t>
            </w:r>
          </w:p>
        </w:tc>
        <w:tc>
          <w:tcPr>
            <w:tcW w:w="1814" w:type="dxa"/>
            <w:noWrap/>
            <w:vAlign w:val="center"/>
          </w:tcPr>
          <w:p w14:paraId="5B395C5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2978E21" w14:textId="77777777" w:rsidR="0099599B" w:rsidRDefault="0099599B">
            <w:pPr>
              <w:spacing w:after="0" w:line="240" w:lineRule="auto"/>
              <w:rPr>
                <w:rFonts w:eastAsia="Times New Roman"/>
                <w:kern w:val="0"/>
                <w:sz w:val="20"/>
                <w:szCs w:val="20"/>
                <w14:ligatures w14:val="none"/>
              </w:rPr>
            </w:pPr>
          </w:p>
        </w:tc>
      </w:tr>
      <w:tr w:rsidR="0099599B" w14:paraId="2996EEEE" w14:textId="77777777">
        <w:trPr>
          <w:trHeight w:val="300"/>
        </w:trPr>
        <w:tc>
          <w:tcPr>
            <w:tcW w:w="6663" w:type="dxa"/>
            <w:shd w:val="clear" w:color="000000" w:fill="C6E0B4"/>
            <w:noWrap/>
            <w:vAlign w:val="bottom"/>
          </w:tcPr>
          <w:p w14:paraId="347CE97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37158DB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0E984C2" w14:textId="77777777" w:rsidR="0099599B" w:rsidRDefault="0099599B">
            <w:pPr>
              <w:spacing w:after="0" w:line="240" w:lineRule="auto"/>
              <w:rPr>
                <w:rFonts w:eastAsia="Times New Roman"/>
                <w:kern w:val="0"/>
                <w:sz w:val="20"/>
                <w:szCs w:val="20"/>
                <w14:ligatures w14:val="none"/>
              </w:rPr>
            </w:pPr>
          </w:p>
        </w:tc>
      </w:tr>
      <w:tr w:rsidR="0099599B" w14:paraId="1FE614C8" w14:textId="77777777">
        <w:trPr>
          <w:trHeight w:val="300"/>
        </w:trPr>
        <w:tc>
          <w:tcPr>
            <w:tcW w:w="6663" w:type="dxa"/>
            <w:shd w:val="clear" w:color="000000" w:fill="C6E0B4"/>
            <w:noWrap/>
            <w:vAlign w:val="bottom"/>
          </w:tcPr>
          <w:p w14:paraId="1E58DBE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left due to climate/environmental changes in last 5 years?</w:t>
            </w:r>
          </w:p>
        </w:tc>
        <w:tc>
          <w:tcPr>
            <w:tcW w:w="1814" w:type="dxa"/>
            <w:noWrap/>
            <w:vAlign w:val="center"/>
          </w:tcPr>
          <w:p w14:paraId="51F8222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742FCB9" w14:textId="77777777" w:rsidR="0099599B" w:rsidRDefault="0099599B">
            <w:pPr>
              <w:spacing w:after="0" w:line="240" w:lineRule="auto"/>
              <w:rPr>
                <w:rFonts w:eastAsia="Times New Roman"/>
                <w:kern w:val="0"/>
                <w:sz w:val="20"/>
                <w:szCs w:val="20"/>
                <w14:ligatures w14:val="none"/>
              </w:rPr>
            </w:pPr>
          </w:p>
        </w:tc>
      </w:tr>
      <w:tr w:rsidR="0099599B" w14:paraId="3D1E39F1" w14:textId="77777777">
        <w:trPr>
          <w:trHeight w:val="300"/>
        </w:trPr>
        <w:tc>
          <w:tcPr>
            <w:tcW w:w="6663" w:type="dxa"/>
            <w:shd w:val="clear" w:color="000000" w:fill="A9D08E"/>
            <w:noWrap/>
            <w:vAlign w:val="bottom"/>
          </w:tcPr>
          <w:p w14:paraId="58B812B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28B41E4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20FA4B0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w:t>
            </w:r>
          </w:p>
        </w:tc>
      </w:tr>
      <w:tr w:rsidR="0099599B" w14:paraId="5D6B70AB" w14:textId="77777777">
        <w:trPr>
          <w:trHeight w:val="300"/>
        </w:trPr>
        <w:tc>
          <w:tcPr>
            <w:tcW w:w="6663" w:type="dxa"/>
            <w:shd w:val="clear" w:color="000000" w:fill="A9D08E"/>
            <w:noWrap/>
            <w:vAlign w:val="bottom"/>
          </w:tcPr>
          <w:p w14:paraId="4BA1B4E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aware of any gender association or organisation in their community</w:t>
            </w:r>
          </w:p>
        </w:tc>
        <w:tc>
          <w:tcPr>
            <w:tcW w:w="1814" w:type="dxa"/>
            <w:noWrap/>
            <w:vAlign w:val="center"/>
          </w:tcPr>
          <w:p w14:paraId="15A6FB4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201E2ED" w14:textId="77777777" w:rsidR="0099599B" w:rsidRDefault="0099599B">
            <w:pPr>
              <w:spacing w:after="0" w:line="240" w:lineRule="auto"/>
              <w:rPr>
                <w:rFonts w:eastAsia="Times New Roman"/>
                <w:kern w:val="0"/>
                <w:sz w:val="20"/>
                <w:szCs w:val="20"/>
                <w14:ligatures w14:val="none"/>
              </w:rPr>
            </w:pPr>
          </w:p>
        </w:tc>
      </w:tr>
      <w:tr w:rsidR="0099599B" w14:paraId="15612ED8" w14:textId="77777777">
        <w:trPr>
          <w:trHeight w:val="300"/>
        </w:trPr>
        <w:tc>
          <w:tcPr>
            <w:tcW w:w="6663" w:type="dxa"/>
            <w:shd w:val="clear" w:color="000000" w:fill="A9D08E"/>
            <w:noWrap/>
            <w:vAlign w:val="bottom"/>
          </w:tcPr>
          <w:p w14:paraId="7DCE306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communities without there any gender  related government social interventions (e.g.,   LEAP, s </w:t>
            </w:r>
          </w:p>
        </w:tc>
        <w:tc>
          <w:tcPr>
            <w:tcW w:w="1814" w:type="dxa"/>
            <w:noWrap/>
            <w:vAlign w:val="center"/>
          </w:tcPr>
          <w:p w14:paraId="6A23C8E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9DFAF9E" w14:textId="77777777" w:rsidR="0099599B" w:rsidRDefault="0099599B">
            <w:pPr>
              <w:spacing w:after="0" w:line="240" w:lineRule="auto"/>
              <w:rPr>
                <w:rFonts w:eastAsia="Times New Roman"/>
                <w:kern w:val="0"/>
                <w:sz w:val="20"/>
                <w:szCs w:val="20"/>
                <w14:ligatures w14:val="none"/>
              </w:rPr>
            </w:pPr>
          </w:p>
        </w:tc>
      </w:tr>
      <w:tr w:rsidR="0099599B" w14:paraId="69A94060" w14:textId="77777777">
        <w:trPr>
          <w:trHeight w:val="300"/>
        </w:trPr>
        <w:tc>
          <w:tcPr>
            <w:tcW w:w="6663" w:type="dxa"/>
            <w:shd w:val="clear" w:color="000000" w:fill="A9D08E"/>
            <w:noWrap/>
            <w:vAlign w:val="bottom"/>
          </w:tcPr>
          <w:p w14:paraId="4C4EE46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099DAF7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1606256" w14:textId="77777777" w:rsidR="0099599B" w:rsidRDefault="0099599B">
            <w:pPr>
              <w:spacing w:after="0" w:line="240" w:lineRule="auto"/>
              <w:rPr>
                <w:rFonts w:eastAsia="Times New Roman"/>
                <w:kern w:val="0"/>
                <w:sz w:val="20"/>
                <w:szCs w:val="20"/>
                <w14:ligatures w14:val="none"/>
              </w:rPr>
            </w:pPr>
          </w:p>
        </w:tc>
      </w:tr>
      <w:tr w:rsidR="0099599B" w14:paraId="7A743A4E" w14:textId="77777777">
        <w:trPr>
          <w:trHeight w:val="300"/>
        </w:trPr>
        <w:tc>
          <w:tcPr>
            <w:tcW w:w="6663" w:type="dxa"/>
            <w:shd w:val="clear" w:color="000000" w:fill="A9D08E"/>
            <w:noWrap/>
            <w:vAlign w:val="bottom"/>
          </w:tcPr>
          <w:p w14:paraId="1D17997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2D6823F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F3835CA" w14:textId="77777777" w:rsidR="0099599B" w:rsidRDefault="0099599B">
            <w:pPr>
              <w:spacing w:after="0" w:line="240" w:lineRule="auto"/>
              <w:rPr>
                <w:rFonts w:eastAsia="Times New Roman"/>
                <w:kern w:val="0"/>
                <w:sz w:val="20"/>
                <w:szCs w:val="20"/>
                <w14:ligatures w14:val="none"/>
              </w:rPr>
            </w:pPr>
          </w:p>
        </w:tc>
      </w:tr>
      <w:tr w:rsidR="0099599B" w14:paraId="4DC41B85" w14:textId="77777777">
        <w:trPr>
          <w:trHeight w:val="300"/>
        </w:trPr>
        <w:tc>
          <w:tcPr>
            <w:tcW w:w="6663" w:type="dxa"/>
            <w:shd w:val="clear" w:color="000000" w:fill="A9D08E"/>
            <w:noWrap/>
            <w:vAlign w:val="bottom"/>
          </w:tcPr>
          <w:p w14:paraId="57EDBDD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Government Organisation</w:t>
            </w:r>
          </w:p>
        </w:tc>
        <w:tc>
          <w:tcPr>
            <w:tcW w:w="1814" w:type="dxa"/>
            <w:noWrap/>
            <w:vAlign w:val="center"/>
          </w:tcPr>
          <w:p w14:paraId="5697E1F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BC41E1E" w14:textId="77777777" w:rsidR="0099599B" w:rsidRDefault="0099599B">
            <w:pPr>
              <w:spacing w:after="0" w:line="240" w:lineRule="auto"/>
              <w:rPr>
                <w:rFonts w:eastAsia="Times New Roman"/>
                <w:kern w:val="0"/>
                <w:sz w:val="20"/>
                <w:szCs w:val="20"/>
                <w14:ligatures w14:val="none"/>
              </w:rPr>
            </w:pPr>
          </w:p>
        </w:tc>
      </w:tr>
      <w:tr w:rsidR="0099599B" w14:paraId="55A10A71" w14:textId="77777777">
        <w:trPr>
          <w:trHeight w:val="300"/>
        </w:trPr>
        <w:tc>
          <w:tcPr>
            <w:tcW w:w="6663" w:type="dxa"/>
            <w:shd w:val="clear" w:color="000000" w:fill="A9D08E"/>
            <w:noWrap/>
            <w:vAlign w:val="bottom"/>
          </w:tcPr>
          <w:p w14:paraId="7760A71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credit</w:t>
            </w:r>
          </w:p>
        </w:tc>
        <w:tc>
          <w:tcPr>
            <w:tcW w:w="1814" w:type="dxa"/>
            <w:noWrap/>
            <w:vAlign w:val="center"/>
          </w:tcPr>
          <w:p w14:paraId="51F7EFA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FB1DE11" w14:textId="77777777" w:rsidR="0099599B" w:rsidRDefault="0099599B">
            <w:pPr>
              <w:spacing w:after="0" w:line="240" w:lineRule="auto"/>
              <w:rPr>
                <w:rFonts w:eastAsia="Times New Roman"/>
                <w:kern w:val="0"/>
                <w:sz w:val="20"/>
                <w:szCs w:val="20"/>
                <w14:ligatures w14:val="none"/>
              </w:rPr>
            </w:pPr>
          </w:p>
        </w:tc>
      </w:tr>
      <w:tr w:rsidR="0099599B" w14:paraId="2BF30F4A" w14:textId="77777777">
        <w:trPr>
          <w:trHeight w:val="300"/>
        </w:trPr>
        <w:tc>
          <w:tcPr>
            <w:tcW w:w="6663" w:type="dxa"/>
            <w:shd w:val="clear" w:color="000000" w:fill="A9D08E"/>
            <w:noWrap/>
            <w:vAlign w:val="bottom"/>
          </w:tcPr>
          <w:p w14:paraId="1E1A69D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765B404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5BF036C" w14:textId="77777777" w:rsidR="0099599B" w:rsidRDefault="0099599B">
            <w:pPr>
              <w:spacing w:after="0" w:line="240" w:lineRule="auto"/>
              <w:rPr>
                <w:rFonts w:eastAsia="Times New Roman"/>
                <w:kern w:val="0"/>
                <w:sz w:val="20"/>
                <w:szCs w:val="20"/>
                <w14:ligatures w14:val="none"/>
              </w:rPr>
            </w:pPr>
          </w:p>
        </w:tc>
      </w:tr>
      <w:tr w:rsidR="0099599B" w14:paraId="5ADCB08E" w14:textId="77777777">
        <w:trPr>
          <w:trHeight w:val="300"/>
        </w:trPr>
        <w:tc>
          <w:tcPr>
            <w:tcW w:w="6663" w:type="dxa"/>
            <w:shd w:val="clear" w:color="000000" w:fill="A9D08E"/>
            <w:noWrap/>
            <w:vAlign w:val="bottom"/>
          </w:tcPr>
          <w:p w14:paraId="269E678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shd w:val="clear" w:color="000000" w:fill="FFC000"/>
            <w:noWrap/>
            <w:vAlign w:val="center"/>
          </w:tcPr>
          <w:p w14:paraId="25F71B49"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13DE868E"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17</w:t>
            </w:r>
          </w:p>
        </w:tc>
      </w:tr>
      <w:tr w:rsidR="0099599B" w14:paraId="5753E5A9" w14:textId="77777777">
        <w:trPr>
          <w:trHeight w:val="300"/>
        </w:trPr>
        <w:tc>
          <w:tcPr>
            <w:tcW w:w="6663" w:type="dxa"/>
            <w:shd w:val="clear" w:color="000000" w:fill="A9D08E"/>
            <w:noWrap/>
            <w:vAlign w:val="bottom"/>
          </w:tcPr>
          <w:p w14:paraId="5F6E0F8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1C57778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62905D30"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7C505B44" w14:textId="77777777">
        <w:trPr>
          <w:trHeight w:val="300"/>
        </w:trPr>
        <w:tc>
          <w:tcPr>
            <w:tcW w:w="6663" w:type="dxa"/>
            <w:shd w:val="clear" w:color="000000" w:fill="9BC2E6"/>
            <w:noWrap/>
            <w:vAlign w:val="center"/>
          </w:tcPr>
          <w:p w14:paraId="489E5B7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coastal storm warnings</w:t>
            </w:r>
          </w:p>
        </w:tc>
        <w:tc>
          <w:tcPr>
            <w:tcW w:w="1814" w:type="dxa"/>
            <w:noWrap/>
            <w:vAlign w:val="center"/>
          </w:tcPr>
          <w:p w14:paraId="7E279A4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50558807"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6B4B41F4" w14:textId="77777777">
        <w:trPr>
          <w:trHeight w:val="300"/>
        </w:trPr>
        <w:tc>
          <w:tcPr>
            <w:tcW w:w="6663" w:type="dxa"/>
            <w:shd w:val="clear" w:color="000000" w:fill="9BC2E6"/>
            <w:noWrap/>
            <w:vAlign w:val="center"/>
          </w:tcPr>
          <w:p w14:paraId="31CA410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1 km or less from shoreline</w:t>
            </w:r>
          </w:p>
        </w:tc>
        <w:tc>
          <w:tcPr>
            <w:tcW w:w="1814" w:type="dxa"/>
            <w:noWrap/>
            <w:vAlign w:val="center"/>
          </w:tcPr>
          <w:p w14:paraId="372D972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0CF621" w14:textId="77777777" w:rsidR="0099599B" w:rsidRDefault="0099599B">
            <w:pPr>
              <w:spacing w:after="0" w:line="240" w:lineRule="auto"/>
              <w:rPr>
                <w:rFonts w:eastAsia="Times New Roman"/>
                <w:kern w:val="0"/>
                <w:sz w:val="20"/>
                <w:szCs w:val="20"/>
                <w14:ligatures w14:val="none"/>
              </w:rPr>
            </w:pPr>
          </w:p>
        </w:tc>
      </w:tr>
      <w:tr w:rsidR="0099599B" w14:paraId="42E75FB0" w14:textId="77777777">
        <w:trPr>
          <w:trHeight w:val="300"/>
        </w:trPr>
        <w:tc>
          <w:tcPr>
            <w:tcW w:w="6663" w:type="dxa"/>
            <w:shd w:val="clear" w:color="000000" w:fill="9BC2E6"/>
            <w:noWrap/>
            <w:vAlign w:val="center"/>
          </w:tcPr>
          <w:p w14:paraId="412E121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1F79F91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554D7CB" w14:textId="77777777" w:rsidR="0099599B" w:rsidRDefault="0099599B">
            <w:pPr>
              <w:spacing w:after="0" w:line="240" w:lineRule="auto"/>
              <w:rPr>
                <w:rFonts w:eastAsia="Times New Roman"/>
                <w:kern w:val="0"/>
                <w:sz w:val="20"/>
                <w:szCs w:val="20"/>
                <w14:ligatures w14:val="none"/>
              </w:rPr>
            </w:pPr>
          </w:p>
        </w:tc>
      </w:tr>
      <w:tr w:rsidR="0099599B" w14:paraId="754C6ABB" w14:textId="77777777">
        <w:trPr>
          <w:trHeight w:val="300"/>
        </w:trPr>
        <w:tc>
          <w:tcPr>
            <w:tcW w:w="6663" w:type="dxa"/>
            <w:shd w:val="clear" w:color="000000" w:fill="DDEBF7"/>
            <w:noWrap/>
            <w:vAlign w:val="bottom"/>
          </w:tcPr>
          <w:p w14:paraId="414EADB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 health facility in their communities</w:t>
            </w:r>
          </w:p>
        </w:tc>
        <w:tc>
          <w:tcPr>
            <w:tcW w:w="1814" w:type="dxa"/>
            <w:noWrap/>
            <w:vAlign w:val="center"/>
          </w:tcPr>
          <w:p w14:paraId="026B29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Health and sanitation infrastructure</w:t>
            </w:r>
          </w:p>
        </w:tc>
        <w:tc>
          <w:tcPr>
            <w:tcW w:w="1041" w:type="dxa"/>
            <w:noWrap/>
            <w:vAlign w:val="center"/>
          </w:tcPr>
          <w:p w14:paraId="64358C1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w:t>
            </w:r>
          </w:p>
        </w:tc>
      </w:tr>
      <w:tr w:rsidR="0099599B" w14:paraId="37A2E554" w14:textId="77777777">
        <w:trPr>
          <w:trHeight w:val="300"/>
        </w:trPr>
        <w:tc>
          <w:tcPr>
            <w:tcW w:w="6663" w:type="dxa"/>
            <w:shd w:val="clear" w:color="000000" w:fill="DDEBF7"/>
            <w:noWrap/>
            <w:vAlign w:val="bottom"/>
          </w:tcPr>
          <w:p w14:paraId="0FA77C0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health facilities in the community</w:t>
            </w:r>
          </w:p>
        </w:tc>
        <w:tc>
          <w:tcPr>
            <w:tcW w:w="1814" w:type="dxa"/>
            <w:noWrap/>
            <w:vAlign w:val="center"/>
          </w:tcPr>
          <w:p w14:paraId="274CCD6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87124F0" w14:textId="77777777" w:rsidR="0099599B" w:rsidRDefault="0099599B">
            <w:pPr>
              <w:spacing w:after="0" w:line="240" w:lineRule="auto"/>
              <w:rPr>
                <w:rFonts w:eastAsia="Times New Roman"/>
                <w:kern w:val="0"/>
                <w:sz w:val="20"/>
                <w:szCs w:val="20"/>
                <w14:ligatures w14:val="none"/>
              </w:rPr>
            </w:pPr>
          </w:p>
        </w:tc>
      </w:tr>
      <w:tr w:rsidR="0099599B" w14:paraId="7D5D57C2" w14:textId="77777777">
        <w:trPr>
          <w:trHeight w:val="300"/>
        </w:trPr>
        <w:tc>
          <w:tcPr>
            <w:tcW w:w="6663" w:type="dxa"/>
            <w:shd w:val="clear" w:color="000000" w:fill="DDEBF7"/>
            <w:noWrap/>
            <w:vAlign w:val="bottom"/>
          </w:tcPr>
          <w:p w14:paraId="7F448EB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safe sanitation services</w:t>
            </w:r>
          </w:p>
        </w:tc>
        <w:tc>
          <w:tcPr>
            <w:tcW w:w="1814" w:type="dxa"/>
            <w:noWrap/>
            <w:vAlign w:val="center"/>
          </w:tcPr>
          <w:p w14:paraId="042331F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53F6D9F" w14:textId="77777777" w:rsidR="0099599B" w:rsidRDefault="0099599B">
            <w:pPr>
              <w:spacing w:after="0" w:line="240" w:lineRule="auto"/>
              <w:rPr>
                <w:rFonts w:eastAsia="Times New Roman"/>
                <w:kern w:val="0"/>
                <w:sz w:val="20"/>
                <w:szCs w:val="20"/>
                <w14:ligatures w14:val="none"/>
              </w:rPr>
            </w:pPr>
          </w:p>
        </w:tc>
      </w:tr>
      <w:tr w:rsidR="0099599B" w14:paraId="6D4A055A" w14:textId="77777777">
        <w:trPr>
          <w:trHeight w:val="300"/>
        </w:trPr>
        <w:tc>
          <w:tcPr>
            <w:tcW w:w="6663" w:type="dxa"/>
            <w:shd w:val="clear" w:color="000000" w:fill="DDEBF7"/>
            <w:noWrap/>
            <w:vAlign w:val="bottom"/>
          </w:tcPr>
          <w:p w14:paraId="00FC960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public toilet facilitites in the community</w:t>
            </w:r>
          </w:p>
        </w:tc>
        <w:tc>
          <w:tcPr>
            <w:tcW w:w="1814" w:type="dxa"/>
            <w:noWrap/>
            <w:vAlign w:val="center"/>
          </w:tcPr>
          <w:p w14:paraId="751366D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45C8AEB" w14:textId="77777777" w:rsidR="0099599B" w:rsidRDefault="0099599B">
            <w:pPr>
              <w:spacing w:after="0" w:line="240" w:lineRule="auto"/>
              <w:rPr>
                <w:rFonts w:eastAsia="Times New Roman"/>
                <w:kern w:val="0"/>
                <w:sz w:val="20"/>
                <w:szCs w:val="20"/>
                <w14:ligatures w14:val="none"/>
              </w:rPr>
            </w:pPr>
          </w:p>
        </w:tc>
      </w:tr>
      <w:tr w:rsidR="0099599B" w14:paraId="4A4CCDBD" w14:textId="77777777">
        <w:trPr>
          <w:trHeight w:val="300"/>
        </w:trPr>
        <w:tc>
          <w:tcPr>
            <w:tcW w:w="6663" w:type="dxa"/>
            <w:shd w:val="clear" w:color="000000" w:fill="BDD7EE"/>
            <w:noWrap/>
            <w:vAlign w:val="center"/>
          </w:tcPr>
          <w:p w14:paraId="4BBC3F7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whose houses or infrastructure been damanged by flood, erosion or strong winds in the past 5 years</w:t>
            </w:r>
          </w:p>
        </w:tc>
        <w:tc>
          <w:tcPr>
            <w:tcW w:w="1814" w:type="dxa"/>
            <w:noWrap/>
            <w:vAlign w:val="center"/>
          </w:tcPr>
          <w:p w14:paraId="0FDA7B5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Infrastructure</w:t>
            </w:r>
          </w:p>
        </w:tc>
        <w:tc>
          <w:tcPr>
            <w:tcW w:w="1041" w:type="dxa"/>
            <w:noWrap/>
            <w:vAlign w:val="center"/>
          </w:tcPr>
          <w:p w14:paraId="4BBA6F4E"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54C78D4B" w14:textId="77777777">
        <w:trPr>
          <w:trHeight w:val="300"/>
        </w:trPr>
        <w:tc>
          <w:tcPr>
            <w:tcW w:w="6663" w:type="dxa"/>
            <w:shd w:val="clear" w:color="000000" w:fill="BDD7EE"/>
            <w:noWrap/>
            <w:vAlign w:val="center"/>
          </w:tcPr>
          <w:p w14:paraId="7F7DB3A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road block or unusable roads during rains</w:t>
            </w:r>
          </w:p>
        </w:tc>
        <w:tc>
          <w:tcPr>
            <w:tcW w:w="1814" w:type="dxa"/>
            <w:noWrap/>
            <w:vAlign w:val="center"/>
          </w:tcPr>
          <w:p w14:paraId="146238B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7272BC9" w14:textId="77777777" w:rsidR="0099599B" w:rsidRDefault="0099599B">
            <w:pPr>
              <w:spacing w:after="0" w:line="240" w:lineRule="auto"/>
              <w:rPr>
                <w:rFonts w:eastAsia="Times New Roman"/>
                <w:kern w:val="0"/>
                <w:sz w:val="20"/>
                <w:szCs w:val="20"/>
                <w14:ligatures w14:val="none"/>
              </w:rPr>
            </w:pPr>
          </w:p>
        </w:tc>
      </w:tr>
      <w:tr w:rsidR="0099599B" w14:paraId="084A2E48" w14:textId="77777777">
        <w:trPr>
          <w:trHeight w:val="300"/>
        </w:trPr>
        <w:tc>
          <w:tcPr>
            <w:tcW w:w="6663" w:type="dxa"/>
            <w:shd w:val="clear" w:color="000000" w:fill="BDD7EE"/>
            <w:noWrap/>
            <w:vAlign w:val="center"/>
          </w:tcPr>
          <w:p w14:paraId="068456D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disaster resilient infrastructure</w:t>
            </w:r>
          </w:p>
        </w:tc>
        <w:tc>
          <w:tcPr>
            <w:tcW w:w="1814" w:type="dxa"/>
            <w:noWrap/>
            <w:vAlign w:val="center"/>
          </w:tcPr>
          <w:p w14:paraId="1E03E20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602E64F" w14:textId="77777777" w:rsidR="0099599B" w:rsidRDefault="0099599B">
            <w:pPr>
              <w:spacing w:after="0" w:line="240" w:lineRule="auto"/>
              <w:rPr>
                <w:rFonts w:eastAsia="Times New Roman"/>
                <w:kern w:val="0"/>
                <w:sz w:val="20"/>
                <w:szCs w:val="20"/>
                <w14:ligatures w14:val="none"/>
              </w:rPr>
            </w:pPr>
          </w:p>
        </w:tc>
      </w:tr>
      <w:tr w:rsidR="0099599B" w14:paraId="2C04544B" w14:textId="77777777">
        <w:trPr>
          <w:trHeight w:val="300"/>
        </w:trPr>
        <w:tc>
          <w:tcPr>
            <w:tcW w:w="6663" w:type="dxa"/>
            <w:shd w:val="clear" w:color="000000" w:fill="BDD7EE"/>
            <w:noWrap/>
            <w:vAlign w:val="center"/>
          </w:tcPr>
          <w:p w14:paraId="20DE41D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ready market</w:t>
            </w:r>
          </w:p>
        </w:tc>
        <w:tc>
          <w:tcPr>
            <w:tcW w:w="1814" w:type="dxa"/>
            <w:noWrap/>
            <w:vAlign w:val="center"/>
          </w:tcPr>
          <w:p w14:paraId="0991C6F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88A484C" w14:textId="77777777" w:rsidR="0099599B" w:rsidRDefault="0099599B">
            <w:pPr>
              <w:spacing w:after="0" w:line="240" w:lineRule="auto"/>
              <w:rPr>
                <w:rFonts w:eastAsia="Times New Roman"/>
                <w:kern w:val="0"/>
                <w:sz w:val="20"/>
                <w:szCs w:val="20"/>
                <w14:ligatures w14:val="none"/>
              </w:rPr>
            </w:pPr>
          </w:p>
        </w:tc>
      </w:tr>
      <w:tr w:rsidR="0099599B" w14:paraId="16BBBF2A" w14:textId="77777777">
        <w:trPr>
          <w:trHeight w:val="300"/>
        </w:trPr>
        <w:tc>
          <w:tcPr>
            <w:tcW w:w="6663" w:type="dxa"/>
            <w:shd w:val="clear" w:color="000000" w:fill="BDD7EE"/>
            <w:noWrap/>
            <w:vAlign w:val="center"/>
          </w:tcPr>
          <w:p w14:paraId="3D227C1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good road network</w:t>
            </w:r>
          </w:p>
        </w:tc>
        <w:tc>
          <w:tcPr>
            <w:tcW w:w="1814" w:type="dxa"/>
            <w:shd w:val="clear" w:color="000000" w:fill="FFC000"/>
            <w:noWrap/>
            <w:vAlign w:val="center"/>
          </w:tcPr>
          <w:p w14:paraId="6EFE6234"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300A506A"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12</w:t>
            </w:r>
          </w:p>
        </w:tc>
      </w:tr>
      <w:tr w:rsidR="0099599B" w14:paraId="3FE9E16A" w14:textId="77777777">
        <w:trPr>
          <w:trHeight w:val="300"/>
        </w:trPr>
        <w:tc>
          <w:tcPr>
            <w:tcW w:w="6663" w:type="dxa"/>
            <w:shd w:val="clear" w:color="000000" w:fill="BDD7EE"/>
            <w:noWrap/>
            <w:vAlign w:val="center"/>
          </w:tcPr>
          <w:p w14:paraId="3BA15AC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3823E6FF"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54619DA7"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40A463FB" w14:textId="77777777">
        <w:trPr>
          <w:trHeight w:val="300"/>
        </w:trPr>
        <w:tc>
          <w:tcPr>
            <w:tcW w:w="6663" w:type="dxa"/>
            <w:shd w:val="clear" w:color="000000" w:fill="FCE4D6"/>
            <w:noWrap/>
            <w:vAlign w:val="center"/>
          </w:tcPr>
          <w:p w14:paraId="0A797FD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722B31C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7E20853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257F6D0A" w14:textId="77777777">
        <w:trPr>
          <w:trHeight w:val="300"/>
        </w:trPr>
        <w:tc>
          <w:tcPr>
            <w:tcW w:w="6663" w:type="dxa"/>
            <w:shd w:val="clear" w:color="000000" w:fill="FCE4D6"/>
            <w:noWrap/>
            <w:vAlign w:val="center"/>
          </w:tcPr>
          <w:p w14:paraId="7D9C608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7330452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DD8E96B" w14:textId="77777777" w:rsidR="0099599B" w:rsidRDefault="0099599B">
            <w:pPr>
              <w:spacing w:after="0" w:line="240" w:lineRule="auto"/>
              <w:rPr>
                <w:rFonts w:eastAsia="Times New Roman"/>
                <w:kern w:val="0"/>
                <w:sz w:val="20"/>
                <w:szCs w:val="20"/>
                <w14:ligatures w14:val="none"/>
              </w:rPr>
            </w:pPr>
          </w:p>
        </w:tc>
      </w:tr>
      <w:tr w:rsidR="0099599B" w14:paraId="3720D4EC" w14:textId="77777777">
        <w:trPr>
          <w:trHeight w:val="300"/>
        </w:trPr>
        <w:tc>
          <w:tcPr>
            <w:tcW w:w="6663" w:type="dxa"/>
            <w:shd w:val="clear" w:color="000000" w:fill="FCE4D6"/>
            <w:noWrap/>
            <w:vAlign w:val="center"/>
          </w:tcPr>
          <w:p w14:paraId="2486D0D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630637B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09389F9" w14:textId="77777777" w:rsidR="0099599B" w:rsidRDefault="0099599B">
            <w:pPr>
              <w:spacing w:after="0" w:line="240" w:lineRule="auto"/>
              <w:rPr>
                <w:rFonts w:eastAsia="Times New Roman"/>
                <w:kern w:val="0"/>
                <w:sz w:val="20"/>
                <w:szCs w:val="20"/>
                <w14:ligatures w14:val="none"/>
              </w:rPr>
            </w:pPr>
          </w:p>
        </w:tc>
      </w:tr>
      <w:tr w:rsidR="0099599B" w14:paraId="5CEC7298" w14:textId="77777777">
        <w:trPr>
          <w:trHeight w:val="300"/>
        </w:trPr>
        <w:tc>
          <w:tcPr>
            <w:tcW w:w="6663" w:type="dxa"/>
            <w:shd w:val="clear" w:color="000000" w:fill="FCE4D6"/>
            <w:noWrap/>
            <w:vAlign w:val="center"/>
          </w:tcPr>
          <w:p w14:paraId="019535C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543DFD7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932CCEC" w14:textId="77777777" w:rsidR="0099599B" w:rsidRDefault="0099599B">
            <w:pPr>
              <w:spacing w:after="0" w:line="240" w:lineRule="auto"/>
              <w:rPr>
                <w:rFonts w:eastAsia="Times New Roman"/>
                <w:kern w:val="0"/>
                <w:sz w:val="20"/>
                <w:szCs w:val="20"/>
                <w14:ligatures w14:val="none"/>
              </w:rPr>
            </w:pPr>
          </w:p>
        </w:tc>
      </w:tr>
      <w:tr w:rsidR="0099599B" w14:paraId="4EE3D958" w14:textId="77777777">
        <w:trPr>
          <w:trHeight w:val="300"/>
        </w:trPr>
        <w:tc>
          <w:tcPr>
            <w:tcW w:w="6663" w:type="dxa"/>
            <w:shd w:val="clear" w:color="000000" w:fill="FCE4D6"/>
            <w:noWrap/>
            <w:vAlign w:val="center"/>
          </w:tcPr>
          <w:p w14:paraId="75F50A8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54A1F10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A8697D" w14:textId="77777777" w:rsidR="0099599B" w:rsidRDefault="0099599B">
            <w:pPr>
              <w:spacing w:after="0" w:line="240" w:lineRule="auto"/>
              <w:rPr>
                <w:rFonts w:eastAsia="Times New Roman"/>
                <w:kern w:val="0"/>
                <w:sz w:val="20"/>
                <w:szCs w:val="20"/>
                <w14:ligatures w14:val="none"/>
              </w:rPr>
            </w:pPr>
          </w:p>
        </w:tc>
      </w:tr>
      <w:tr w:rsidR="0099599B" w14:paraId="4EEC3F15" w14:textId="77777777">
        <w:trPr>
          <w:trHeight w:val="300"/>
        </w:trPr>
        <w:tc>
          <w:tcPr>
            <w:tcW w:w="6663" w:type="dxa"/>
            <w:shd w:val="clear" w:color="000000" w:fill="F8CBAD"/>
            <w:noWrap/>
            <w:vAlign w:val="center"/>
          </w:tcPr>
          <w:p w14:paraId="1615E54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6108B1B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2597E30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2F416CC6" w14:textId="77777777">
        <w:trPr>
          <w:trHeight w:val="300"/>
        </w:trPr>
        <w:tc>
          <w:tcPr>
            <w:tcW w:w="6663" w:type="dxa"/>
            <w:shd w:val="clear" w:color="000000" w:fill="F8CBAD"/>
            <w:noWrap/>
            <w:vAlign w:val="center"/>
          </w:tcPr>
          <w:p w14:paraId="583CD86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3147B89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78187BF" w14:textId="77777777" w:rsidR="0099599B" w:rsidRDefault="0099599B">
            <w:pPr>
              <w:spacing w:after="0" w:line="240" w:lineRule="auto"/>
              <w:rPr>
                <w:rFonts w:eastAsia="Times New Roman"/>
                <w:kern w:val="0"/>
                <w:sz w:val="20"/>
                <w:szCs w:val="20"/>
                <w14:ligatures w14:val="none"/>
              </w:rPr>
            </w:pPr>
          </w:p>
        </w:tc>
      </w:tr>
      <w:tr w:rsidR="0099599B" w14:paraId="0A9D458F" w14:textId="77777777">
        <w:trPr>
          <w:trHeight w:val="300"/>
        </w:trPr>
        <w:tc>
          <w:tcPr>
            <w:tcW w:w="6663" w:type="dxa"/>
            <w:shd w:val="clear" w:color="000000" w:fill="F8CBAD"/>
            <w:noWrap/>
            <w:vAlign w:val="center"/>
          </w:tcPr>
          <w:p w14:paraId="7BF6BF3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4412B8A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D421145" w14:textId="77777777" w:rsidR="0099599B" w:rsidRDefault="0099599B">
            <w:pPr>
              <w:spacing w:after="0" w:line="240" w:lineRule="auto"/>
              <w:rPr>
                <w:rFonts w:eastAsia="Times New Roman"/>
                <w:kern w:val="0"/>
                <w:sz w:val="20"/>
                <w:szCs w:val="20"/>
                <w14:ligatures w14:val="none"/>
              </w:rPr>
            </w:pPr>
          </w:p>
        </w:tc>
      </w:tr>
      <w:tr w:rsidR="0099599B" w14:paraId="2264E642" w14:textId="77777777">
        <w:trPr>
          <w:trHeight w:val="300"/>
        </w:trPr>
        <w:tc>
          <w:tcPr>
            <w:tcW w:w="6663" w:type="dxa"/>
            <w:shd w:val="clear" w:color="000000" w:fill="F8CBAD"/>
            <w:noWrap/>
            <w:vAlign w:val="center"/>
          </w:tcPr>
          <w:p w14:paraId="4E8228F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726B219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2F37F3C" w14:textId="77777777" w:rsidR="0099599B" w:rsidRDefault="0099599B">
            <w:pPr>
              <w:spacing w:after="0" w:line="240" w:lineRule="auto"/>
              <w:rPr>
                <w:rFonts w:eastAsia="Times New Roman"/>
                <w:kern w:val="0"/>
                <w:sz w:val="20"/>
                <w:szCs w:val="20"/>
                <w14:ligatures w14:val="none"/>
              </w:rPr>
            </w:pPr>
          </w:p>
        </w:tc>
      </w:tr>
      <w:tr w:rsidR="0099599B" w14:paraId="3897AE68" w14:textId="77777777">
        <w:trPr>
          <w:trHeight w:val="300"/>
        </w:trPr>
        <w:tc>
          <w:tcPr>
            <w:tcW w:w="6663" w:type="dxa"/>
            <w:shd w:val="clear" w:color="000000" w:fill="F8CBAD"/>
            <w:noWrap/>
            <w:vAlign w:val="center"/>
          </w:tcPr>
          <w:p w14:paraId="13E2341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shd w:val="clear" w:color="000000" w:fill="FFC000"/>
            <w:noWrap/>
            <w:vAlign w:val="center"/>
          </w:tcPr>
          <w:p w14:paraId="67F42B98"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1D3941A2"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10</w:t>
            </w:r>
          </w:p>
        </w:tc>
      </w:tr>
      <w:tr w:rsidR="0099599B" w14:paraId="3FFCC3ED" w14:textId="77777777">
        <w:trPr>
          <w:trHeight w:val="300"/>
        </w:trPr>
        <w:tc>
          <w:tcPr>
            <w:tcW w:w="6663" w:type="dxa"/>
            <w:noWrap/>
            <w:vAlign w:val="center"/>
          </w:tcPr>
          <w:p w14:paraId="2E0A9B5B" w14:textId="77777777" w:rsidR="0099599B" w:rsidRDefault="0099599B">
            <w:pPr>
              <w:spacing w:after="0" w:line="240" w:lineRule="auto"/>
              <w:jc w:val="right"/>
              <w:rPr>
                <w:rFonts w:ascii="Calibri" w:eastAsia="Times New Roman" w:hAnsi="Calibri" w:cs="Calibri"/>
                <w:color w:val="000000"/>
                <w:kern w:val="0"/>
                <w:sz w:val="22"/>
                <w:szCs w:val="22"/>
                <w14:ligatures w14:val="none"/>
              </w:rPr>
            </w:pPr>
          </w:p>
        </w:tc>
        <w:tc>
          <w:tcPr>
            <w:tcW w:w="1814" w:type="dxa"/>
            <w:noWrap/>
            <w:vAlign w:val="center"/>
          </w:tcPr>
          <w:p w14:paraId="67F6C826"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01694EB2" w14:textId="77777777" w:rsidR="0099599B" w:rsidRDefault="0099599B">
            <w:pPr>
              <w:spacing w:after="0" w:line="240" w:lineRule="auto"/>
              <w:rPr>
                <w:rFonts w:eastAsia="Times New Roman"/>
                <w:kern w:val="0"/>
                <w:sz w:val="20"/>
                <w:szCs w:val="20"/>
                <w14:ligatures w14:val="none"/>
              </w:rPr>
            </w:pPr>
          </w:p>
        </w:tc>
      </w:tr>
      <w:tr w:rsidR="0099599B" w14:paraId="6D1D9341" w14:textId="77777777">
        <w:trPr>
          <w:trHeight w:val="300"/>
        </w:trPr>
        <w:tc>
          <w:tcPr>
            <w:tcW w:w="6663" w:type="dxa"/>
            <w:noWrap/>
            <w:vAlign w:val="center"/>
          </w:tcPr>
          <w:p w14:paraId="5EF53CF4" w14:textId="77777777" w:rsidR="0099599B" w:rsidRDefault="0099599B">
            <w:pPr>
              <w:spacing w:after="0" w:line="240" w:lineRule="auto"/>
              <w:rPr>
                <w:rFonts w:eastAsia="Times New Roman"/>
                <w:kern w:val="0"/>
                <w:sz w:val="20"/>
                <w:szCs w:val="20"/>
                <w14:ligatures w14:val="none"/>
              </w:rPr>
            </w:pPr>
          </w:p>
        </w:tc>
        <w:tc>
          <w:tcPr>
            <w:tcW w:w="1814" w:type="dxa"/>
            <w:noWrap/>
            <w:vAlign w:val="center"/>
          </w:tcPr>
          <w:p w14:paraId="01304A7D"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34A65BD4" w14:textId="77777777" w:rsidR="0099599B" w:rsidRDefault="0099599B">
            <w:pPr>
              <w:spacing w:after="0" w:line="240" w:lineRule="auto"/>
              <w:rPr>
                <w:rFonts w:eastAsia="Times New Roman"/>
                <w:kern w:val="0"/>
                <w:sz w:val="20"/>
                <w:szCs w:val="20"/>
                <w14:ligatures w14:val="none"/>
              </w:rPr>
            </w:pPr>
          </w:p>
        </w:tc>
      </w:tr>
      <w:tr w:rsidR="0099599B" w14:paraId="0603699D" w14:textId="77777777">
        <w:trPr>
          <w:trHeight w:val="300"/>
        </w:trPr>
        <w:tc>
          <w:tcPr>
            <w:tcW w:w="6663" w:type="dxa"/>
            <w:noWrap/>
            <w:vAlign w:val="center"/>
          </w:tcPr>
          <w:p w14:paraId="22A715A5" w14:textId="77777777" w:rsidR="0099599B" w:rsidRDefault="0099599B">
            <w:pPr>
              <w:spacing w:after="0" w:line="240" w:lineRule="auto"/>
              <w:rPr>
                <w:rFonts w:eastAsia="Times New Roman"/>
                <w:kern w:val="0"/>
                <w:sz w:val="20"/>
                <w:szCs w:val="20"/>
                <w14:ligatures w14:val="none"/>
              </w:rPr>
            </w:pPr>
          </w:p>
        </w:tc>
        <w:tc>
          <w:tcPr>
            <w:tcW w:w="1814" w:type="dxa"/>
            <w:noWrap/>
            <w:vAlign w:val="center"/>
          </w:tcPr>
          <w:p w14:paraId="7EF621E5"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437F4EEB" w14:textId="77777777" w:rsidR="0099599B" w:rsidRDefault="0099599B">
            <w:pPr>
              <w:spacing w:after="0" w:line="240" w:lineRule="auto"/>
              <w:rPr>
                <w:rFonts w:eastAsia="Times New Roman"/>
                <w:kern w:val="0"/>
                <w:sz w:val="20"/>
                <w:szCs w:val="20"/>
                <w14:ligatures w14:val="none"/>
              </w:rPr>
            </w:pPr>
          </w:p>
        </w:tc>
      </w:tr>
      <w:tr w:rsidR="0099599B" w14:paraId="4D7D3797" w14:textId="77777777">
        <w:trPr>
          <w:trHeight w:val="300"/>
        </w:trPr>
        <w:tc>
          <w:tcPr>
            <w:tcW w:w="6663" w:type="dxa"/>
            <w:noWrap/>
            <w:vAlign w:val="center"/>
          </w:tcPr>
          <w:p w14:paraId="4BF75026" w14:textId="77777777" w:rsidR="0099599B" w:rsidRDefault="0099599B">
            <w:pPr>
              <w:spacing w:after="0" w:line="240" w:lineRule="auto"/>
              <w:rPr>
                <w:rFonts w:eastAsia="Times New Roman"/>
                <w:kern w:val="0"/>
                <w:sz w:val="20"/>
                <w:szCs w:val="20"/>
                <w14:ligatures w14:val="none"/>
              </w:rPr>
            </w:pPr>
          </w:p>
        </w:tc>
        <w:tc>
          <w:tcPr>
            <w:tcW w:w="1814" w:type="dxa"/>
            <w:noWrap/>
            <w:vAlign w:val="center"/>
          </w:tcPr>
          <w:p w14:paraId="69CAB0C5"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1FEC7625" w14:textId="77777777" w:rsidR="0099599B" w:rsidRDefault="0099599B">
            <w:pPr>
              <w:spacing w:after="0" w:line="240" w:lineRule="auto"/>
              <w:rPr>
                <w:rFonts w:eastAsia="Times New Roman"/>
                <w:kern w:val="0"/>
                <w:sz w:val="20"/>
                <w:szCs w:val="20"/>
                <w14:ligatures w14:val="none"/>
              </w:rPr>
            </w:pPr>
          </w:p>
        </w:tc>
      </w:tr>
      <w:tr w:rsidR="0099599B" w14:paraId="0CA6F6EB" w14:textId="77777777">
        <w:trPr>
          <w:trHeight w:val="300"/>
        </w:trPr>
        <w:tc>
          <w:tcPr>
            <w:tcW w:w="6663" w:type="dxa"/>
            <w:noWrap/>
            <w:vAlign w:val="bottom"/>
          </w:tcPr>
          <w:p w14:paraId="57CA8700"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Water Resources</w:t>
            </w:r>
          </w:p>
        </w:tc>
        <w:tc>
          <w:tcPr>
            <w:tcW w:w="1814" w:type="dxa"/>
            <w:noWrap/>
            <w:vAlign w:val="center"/>
          </w:tcPr>
          <w:p w14:paraId="0FAA0177" w14:textId="77777777" w:rsidR="0099599B" w:rsidRDefault="0099599B">
            <w:pPr>
              <w:spacing w:after="0" w:line="240" w:lineRule="auto"/>
              <w:jc w:val="center"/>
              <w:rPr>
                <w:rFonts w:ascii="Calibri" w:eastAsia="Times New Roman" w:hAnsi="Calibri" w:cs="Calibri"/>
                <w:b/>
                <w:bCs/>
                <w:color w:val="000000"/>
                <w:kern w:val="0"/>
                <w:sz w:val="22"/>
                <w:szCs w:val="22"/>
                <w14:ligatures w14:val="none"/>
              </w:rPr>
            </w:pPr>
          </w:p>
        </w:tc>
        <w:tc>
          <w:tcPr>
            <w:tcW w:w="1041" w:type="dxa"/>
            <w:noWrap/>
            <w:vAlign w:val="center"/>
          </w:tcPr>
          <w:p w14:paraId="0806EC61" w14:textId="77777777" w:rsidR="0099599B" w:rsidRDefault="0099599B">
            <w:pPr>
              <w:spacing w:after="0" w:line="240" w:lineRule="auto"/>
              <w:rPr>
                <w:rFonts w:eastAsia="Times New Roman"/>
                <w:kern w:val="0"/>
                <w:sz w:val="20"/>
                <w:szCs w:val="20"/>
                <w14:ligatures w14:val="none"/>
              </w:rPr>
            </w:pPr>
          </w:p>
        </w:tc>
      </w:tr>
      <w:tr w:rsidR="0099599B" w14:paraId="1E05AC1E" w14:textId="77777777">
        <w:trPr>
          <w:trHeight w:val="300"/>
        </w:trPr>
        <w:tc>
          <w:tcPr>
            <w:tcW w:w="6663" w:type="dxa"/>
            <w:shd w:val="clear" w:color="000000" w:fill="E2EFDA"/>
            <w:noWrap/>
            <w:vAlign w:val="bottom"/>
          </w:tcPr>
          <w:p w14:paraId="7C5B594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with no Education</w:t>
            </w:r>
          </w:p>
        </w:tc>
        <w:tc>
          <w:tcPr>
            <w:tcW w:w="1814" w:type="dxa"/>
            <w:noWrap/>
            <w:vAlign w:val="center"/>
          </w:tcPr>
          <w:p w14:paraId="577C022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4B6C8A62"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65374F45" w14:textId="77777777">
        <w:trPr>
          <w:trHeight w:val="300"/>
        </w:trPr>
        <w:tc>
          <w:tcPr>
            <w:tcW w:w="6663" w:type="dxa"/>
            <w:shd w:val="clear" w:color="000000" w:fill="E2EFDA"/>
            <w:noWrap/>
            <w:vAlign w:val="bottom"/>
          </w:tcPr>
          <w:p w14:paraId="5AA8BE8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Unemployed</w:t>
            </w:r>
          </w:p>
        </w:tc>
        <w:tc>
          <w:tcPr>
            <w:tcW w:w="1814" w:type="dxa"/>
            <w:noWrap/>
            <w:vAlign w:val="center"/>
          </w:tcPr>
          <w:p w14:paraId="16A34E9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20BAEA3" w14:textId="77777777" w:rsidR="0099599B" w:rsidRDefault="0099599B">
            <w:pPr>
              <w:spacing w:after="0" w:line="240" w:lineRule="auto"/>
              <w:rPr>
                <w:rFonts w:eastAsia="Times New Roman"/>
                <w:kern w:val="0"/>
                <w:sz w:val="20"/>
                <w:szCs w:val="20"/>
                <w14:ligatures w14:val="none"/>
              </w:rPr>
            </w:pPr>
          </w:p>
        </w:tc>
      </w:tr>
      <w:tr w:rsidR="0099599B" w14:paraId="3CD002AC" w14:textId="77777777">
        <w:trPr>
          <w:trHeight w:val="300"/>
        </w:trPr>
        <w:tc>
          <w:tcPr>
            <w:tcW w:w="6663" w:type="dxa"/>
            <w:shd w:val="clear" w:color="000000" w:fill="C6E0B4"/>
            <w:noWrap/>
            <w:vAlign w:val="bottom"/>
          </w:tcPr>
          <w:p w14:paraId="15E902C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engaged in any secondary occupation</w:t>
            </w:r>
          </w:p>
        </w:tc>
        <w:tc>
          <w:tcPr>
            <w:tcW w:w="1814" w:type="dxa"/>
            <w:noWrap/>
            <w:vAlign w:val="center"/>
          </w:tcPr>
          <w:p w14:paraId="271C57A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w:t>
            </w:r>
          </w:p>
        </w:tc>
        <w:tc>
          <w:tcPr>
            <w:tcW w:w="1041" w:type="dxa"/>
            <w:noWrap/>
            <w:vAlign w:val="center"/>
          </w:tcPr>
          <w:p w14:paraId="055C30F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6D99C3C1" w14:textId="77777777">
        <w:trPr>
          <w:trHeight w:val="300"/>
        </w:trPr>
        <w:tc>
          <w:tcPr>
            <w:tcW w:w="6663" w:type="dxa"/>
            <w:shd w:val="clear" w:color="000000" w:fill="C6E0B4"/>
            <w:noWrap/>
            <w:vAlign w:val="bottom"/>
          </w:tcPr>
          <w:p w14:paraId="1303532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civil or government as only source of income</w:t>
            </w:r>
          </w:p>
        </w:tc>
        <w:tc>
          <w:tcPr>
            <w:tcW w:w="1814" w:type="dxa"/>
            <w:noWrap/>
            <w:vAlign w:val="center"/>
          </w:tcPr>
          <w:p w14:paraId="0199003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5AB0989" w14:textId="77777777" w:rsidR="0099599B" w:rsidRDefault="0099599B">
            <w:pPr>
              <w:spacing w:after="0" w:line="240" w:lineRule="auto"/>
              <w:rPr>
                <w:rFonts w:eastAsia="Times New Roman"/>
                <w:kern w:val="0"/>
                <w:sz w:val="20"/>
                <w:szCs w:val="20"/>
                <w14:ligatures w14:val="none"/>
              </w:rPr>
            </w:pPr>
          </w:p>
        </w:tc>
      </w:tr>
      <w:tr w:rsidR="0099599B" w14:paraId="3951499F" w14:textId="77777777">
        <w:trPr>
          <w:trHeight w:val="300"/>
        </w:trPr>
        <w:tc>
          <w:tcPr>
            <w:tcW w:w="6663" w:type="dxa"/>
            <w:shd w:val="clear" w:color="000000" w:fill="C6E0B4"/>
            <w:noWrap/>
            <w:vAlign w:val="bottom"/>
          </w:tcPr>
          <w:p w14:paraId="3EF7B98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private sector (busisness) as only source of income</w:t>
            </w:r>
          </w:p>
        </w:tc>
        <w:tc>
          <w:tcPr>
            <w:tcW w:w="1814" w:type="dxa"/>
            <w:noWrap/>
            <w:vAlign w:val="center"/>
          </w:tcPr>
          <w:p w14:paraId="40943D0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1F684CC" w14:textId="77777777" w:rsidR="0099599B" w:rsidRDefault="0099599B">
            <w:pPr>
              <w:spacing w:after="0" w:line="240" w:lineRule="auto"/>
              <w:rPr>
                <w:rFonts w:eastAsia="Times New Roman"/>
                <w:kern w:val="0"/>
                <w:sz w:val="20"/>
                <w:szCs w:val="20"/>
                <w14:ligatures w14:val="none"/>
              </w:rPr>
            </w:pPr>
          </w:p>
        </w:tc>
      </w:tr>
      <w:tr w:rsidR="0099599B" w14:paraId="320694FF" w14:textId="77777777">
        <w:trPr>
          <w:trHeight w:val="300"/>
        </w:trPr>
        <w:tc>
          <w:tcPr>
            <w:tcW w:w="6663" w:type="dxa"/>
            <w:shd w:val="clear" w:color="000000" w:fill="C6E0B4"/>
            <w:noWrap/>
            <w:vAlign w:val="bottom"/>
          </w:tcPr>
          <w:p w14:paraId="7E82257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%Households without member working outside community</w:t>
            </w:r>
          </w:p>
        </w:tc>
        <w:tc>
          <w:tcPr>
            <w:tcW w:w="1814" w:type="dxa"/>
            <w:noWrap/>
            <w:vAlign w:val="center"/>
          </w:tcPr>
          <w:p w14:paraId="61E5063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A2D9700" w14:textId="77777777" w:rsidR="0099599B" w:rsidRDefault="0099599B">
            <w:pPr>
              <w:spacing w:after="0" w:line="240" w:lineRule="auto"/>
              <w:rPr>
                <w:rFonts w:eastAsia="Times New Roman"/>
                <w:kern w:val="0"/>
                <w:sz w:val="20"/>
                <w:szCs w:val="20"/>
                <w14:ligatures w14:val="none"/>
              </w:rPr>
            </w:pPr>
          </w:p>
        </w:tc>
      </w:tr>
      <w:tr w:rsidR="0099599B" w14:paraId="57EAE767" w14:textId="77777777">
        <w:trPr>
          <w:trHeight w:val="300"/>
        </w:trPr>
        <w:tc>
          <w:tcPr>
            <w:tcW w:w="6663" w:type="dxa"/>
            <w:shd w:val="clear" w:color="000000" w:fill="C6E0B4"/>
            <w:noWrap/>
            <w:vAlign w:val="bottom"/>
          </w:tcPr>
          <w:p w14:paraId="418EC4B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1D1E792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51A95A0" w14:textId="77777777" w:rsidR="0099599B" w:rsidRDefault="0099599B">
            <w:pPr>
              <w:spacing w:after="0" w:line="240" w:lineRule="auto"/>
              <w:rPr>
                <w:rFonts w:eastAsia="Times New Roman"/>
                <w:kern w:val="0"/>
                <w:sz w:val="20"/>
                <w:szCs w:val="20"/>
                <w14:ligatures w14:val="none"/>
              </w:rPr>
            </w:pPr>
          </w:p>
        </w:tc>
      </w:tr>
      <w:tr w:rsidR="0099599B" w14:paraId="025D67A4" w14:textId="77777777">
        <w:trPr>
          <w:trHeight w:val="300"/>
        </w:trPr>
        <w:tc>
          <w:tcPr>
            <w:tcW w:w="6663" w:type="dxa"/>
            <w:shd w:val="clear" w:color="000000" w:fill="C6E0B4"/>
            <w:noWrap/>
            <w:vAlign w:val="bottom"/>
          </w:tcPr>
          <w:p w14:paraId="69BC30C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left due to climate/environmental changes in last 5 years?</w:t>
            </w:r>
          </w:p>
        </w:tc>
        <w:tc>
          <w:tcPr>
            <w:tcW w:w="1814" w:type="dxa"/>
            <w:noWrap/>
            <w:vAlign w:val="center"/>
          </w:tcPr>
          <w:p w14:paraId="73A95F9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3C547B9" w14:textId="77777777" w:rsidR="0099599B" w:rsidRDefault="0099599B">
            <w:pPr>
              <w:spacing w:after="0" w:line="240" w:lineRule="auto"/>
              <w:rPr>
                <w:rFonts w:eastAsia="Times New Roman"/>
                <w:kern w:val="0"/>
                <w:sz w:val="20"/>
                <w:szCs w:val="20"/>
                <w14:ligatures w14:val="none"/>
              </w:rPr>
            </w:pPr>
          </w:p>
        </w:tc>
      </w:tr>
      <w:tr w:rsidR="0099599B" w14:paraId="5AC31206" w14:textId="77777777">
        <w:trPr>
          <w:trHeight w:val="300"/>
        </w:trPr>
        <w:tc>
          <w:tcPr>
            <w:tcW w:w="6663" w:type="dxa"/>
            <w:shd w:val="clear" w:color="000000" w:fill="A9D08E"/>
            <w:noWrap/>
            <w:vAlign w:val="bottom"/>
          </w:tcPr>
          <w:p w14:paraId="545DB37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29BB324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0D85A2C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w:t>
            </w:r>
          </w:p>
        </w:tc>
      </w:tr>
      <w:tr w:rsidR="0099599B" w14:paraId="595E2C5F" w14:textId="77777777">
        <w:trPr>
          <w:trHeight w:val="300"/>
        </w:trPr>
        <w:tc>
          <w:tcPr>
            <w:tcW w:w="6663" w:type="dxa"/>
            <w:shd w:val="clear" w:color="000000" w:fill="A9D08E"/>
            <w:noWrap/>
            <w:vAlign w:val="bottom"/>
          </w:tcPr>
          <w:p w14:paraId="0897469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aware of any gender association or organisation in their community</w:t>
            </w:r>
          </w:p>
        </w:tc>
        <w:tc>
          <w:tcPr>
            <w:tcW w:w="1814" w:type="dxa"/>
            <w:noWrap/>
            <w:vAlign w:val="center"/>
          </w:tcPr>
          <w:p w14:paraId="2E7B397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85754D4" w14:textId="77777777" w:rsidR="0099599B" w:rsidRDefault="0099599B">
            <w:pPr>
              <w:spacing w:after="0" w:line="240" w:lineRule="auto"/>
              <w:rPr>
                <w:rFonts w:eastAsia="Times New Roman"/>
                <w:kern w:val="0"/>
                <w:sz w:val="20"/>
                <w:szCs w:val="20"/>
                <w14:ligatures w14:val="none"/>
              </w:rPr>
            </w:pPr>
          </w:p>
        </w:tc>
      </w:tr>
      <w:tr w:rsidR="0099599B" w14:paraId="10DFB86E" w14:textId="77777777">
        <w:trPr>
          <w:trHeight w:val="300"/>
        </w:trPr>
        <w:tc>
          <w:tcPr>
            <w:tcW w:w="6663" w:type="dxa"/>
            <w:shd w:val="clear" w:color="000000" w:fill="A9D08E"/>
            <w:noWrap/>
            <w:vAlign w:val="bottom"/>
          </w:tcPr>
          <w:p w14:paraId="0CD90CC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xml:space="preserve">% of communities without there any gender  related government social interventions (e.g.,   LEAP, s </w:t>
            </w:r>
          </w:p>
        </w:tc>
        <w:tc>
          <w:tcPr>
            <w:tcW w:w="1814" w:type="dxa"/>
            <w:noWrap/>
            <w:vAlign w:val="center"/>
          </w:tcPr>
          <w:p w14:paraId="7DCD21E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19BCBA1" w14:textId="77777777" w:rsidR="0099599B" w:rsidRDefault="0099599B">
            <w:pPr>
              <w:spacing w:after="0" w:line="240" w:lineRule="auto"/>
              <w:rPr>
                <w:rFonts w:eastAsia="Times New Roman"/>
                <w:kern w:val="0"/>
                <w:sz w:val="20"/>
                <w:szCs w:val="20"/>
                <w14:ligatures w14:val="none"/>
              </w:rPr>
            </w:pPr>
          </w:p>
        </w:tc>
      </w:tr>
      <w:tr w:rsidR="0099599B" w14:paraId="4F842FCB" w14:textId="77777777">
        <w:trPr>
          <w:trHeight w:val="300"/>
        </w:trPr>
        <w:tc>
          <w:tcPr>
            <w:tcW w:w="6663" w:type="dxa"/>
            <w:shd w:val="clear" w:color="000000" w:fill="A9D08E"/>
            <w:noWrap/>
            <w:vAlign w:val="bottom"/>
          </w:tcPr>
          <w:p w14:paraId="71B31EB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7FAF1D2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BFDB7E1" w14:textId="77777777" w:rsidR="0099599B" w:rsidRDefault="0099599B">
            <w:pPr>
              <w:spacing w:after="0" w:line="240" w:lineRule="auto"/>
              <w:rPr>
                <w:rFonts w:eastAsia="Times New Roman"/>
                <w:kern w:val="0"/>
                <w:sz w:val="20"/>
                <w:szCs w:val="20"/>
                <w14:ligatures w14:val="none"/>
              </w:rPr>
            </w:pPr>
          </w:p>
        </w:tc>
      </w:tr>
      <w:tr w:rsidR="0099599B" w14:paraId="1749D73C" w14:textId="77777777">
        <w:trPr>
          <w:trHeight w:val="300"/>
        </w:trPr>
        <w:tc>
          <w:tcPr>
            <w:tcW w:w="6663" w:type="dxa"/>
            <w:shd w:val="clear" w:color="000000" w:fill="A9D08E"/>
            <w:noWrap/>
            <w:vAlign w:val="bottom"/>
          </w:tcPr>
          <w:p w14:paraId="1D2A5EB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7D80F98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7F2C3AE" w14:textId="77777777" w:rsidR="0099599B" w:rsidRDefault="0099599B">
            <w:pPr>
              <w:spacing w:after="0" w:line="240" w:lineRule="auto"/>
              <w:rPr>
                <w:rFonts w:eastAsia="Times New Roman"/>
                <w:kern w:val="0"/>
                <w:sz w:val="20"/>
                <w:szCs w:val="20"/>
                <w14:ligatures w14:val="none"/>
              </w:rPr>
            </w:pPr>
          </w:p>
        </w:tc>
      </w:tr>
      <w:tr w:rsidR="0099599B" w14:paraId="3265F6C6" w14:textId="77777777">
        <w:trPr>
          <w:trHeight w:val="300"/>
        </w:trPr>
        <w:tc>
          <w:tcPr>
            <w:tcW w:w="6663" w:type="dxa"/>
            <w:shd w:val="clear" w:color="000000" w:fill="A9D08E"/>
            <w:noWrap/>
            <w:vAlign w:val="bottom"/>
          </w:tcPr>
          <w:p w14:paraId="06D2D74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Government Organisation</w:t>
            </w:r>
          </w:p>
        </w:tc>
        <w:tc>
          <w:tcPr>
            <w:tcW w:w="1814" w:type="dxa"/>
            <w:noWrap/>
            <w:vAlign w:val="center"/>
          </w:tcPr>
          <w:p w14:paraId="6199F81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ACF6BC3" w14:textId="77777777" w:rsidR="0099599B" w:rsidRDefault="0099599B">
            <w:pPr>
              <w:spacing w:after="0" w:line="240" w:lineRule="auto"/>
              <w:rPr>
                <w:rFonts w:eastAsia="Times New Roman"/>
                <w:kern w:val="0"/>
                <w:sz w:val="20"/>
                <w:szCs w:val="20"/>
                <w14:ligatures w14:val="none"/>
              </w:rPr>
            </w:pPr>
          </w:p>
        </w:tc>
      </w:tr>
      <w:tr w:rsidR="0099599B" w14:paraId="6C91250B" w14:textId="77777777">
        <w:trPr>
          <w:trHeight w:val="300"/>
        </w:trPr>
        <w:tc>
          <w:tcPr>
            <w:tcW w:w="6663" w:type="dxa"/>
            <w:shd w:val="clear" w:color="000000" w:fill="A9D08E"/>
            <w:noWrap/>
            <w:vAlign w:val="bottom"/>
          </w:tcPr>
          <w:p w14:paraId="0CB8E92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credit</w:t>
            </w:r>
          </w:p>
        </w:tc>
        <w:tc>
          <w:tcPr>
            <w:tcW w:w="1814" w:type="dxa"/>
            <w:noWrap/>
            <w:vAlign w:val="center"/>
          </w:tcPr>
          <w:p w14:paraId="2CD5C4E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FF09BAE" w14:textId="77777777" w:rsidR="0099599B" w:rsidRDefault="0099599B">
            <w:pPr>
              <w:spacing w:after="0" w:line="240" w:lineRule="auto"/>
              <w:rPr>
                <w:rFonts w:eastAsia="Times New Roman"/>
                <w:kern w:val="0"/>
                <w:sz w:val="20"/>
                <w:szCs w:val="20"/>
                <w14:ligatures w14:val="none"/>
              </w:rPr>
            </w:pPr>
          </w:p>
        </w:tc>
      </w:tr>
      <w:tr w:rsidR="0099599B" w14:paraId="6D93B3EB" w14:textId="77777777">
        <w:trPr>
          <w:trHeight w:val="300"/>
        </w:trPr>
        <w:tc>
          <w:tcPr>
            <w:tcW w:w="6663" w:type="dxa"/>
            <w:shd w:val="clear" w:color="000000" w:fill="A9D08E"/>
            <w:noWrap/>
            <w:vAlign w:val="bottom"/>
          </w:tcPr>
          <w:p w14:paraId="1747181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1D744FB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223417B" w14:textId="77777777" w:rsidR="0099599B" w:rsidRDefault="0099599B">
            <w:pPr>
              <w:spacing w:after="0" w:line="240" w:lineRule="auto"/>
              <w:rPr>
                <w:rFonts w:eastAsia="Times New Roman"/>
                <w:kern w:val="0"/>
                <w:sz w:val="20"/>
                <w:szCs w:val="20"/>
                <w14:ligatures w14:val="none"/>
              </w:rPr>
            </w:pPr>
          </w:p>
        </w:tc>
      </w:tr>
      <w:tr w:rsidR="0099599B" w14:paraId="773EACD1" w14:textId="77777777">
        <w:trPr>
          <w:trHeight w:val="300"/>
        </w:trPr>
        <w:tc>
          <w:tcPr>
            <w:tcW w:w="6663" w:type="dxa"/>
            <w:shd w:val="clear" w:color="000000" w:fill="A9D08E"/>
            <w:noWrap/>
            <w:vAlign w:val="bottom"/>
          </w:tcPr>
          <w:p w14:paraId="566A2C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shd w:val="clear" w:color="000000" w:fill="FFC000"/>
            <w:noWrap/>
            <w:vAlign w:val="center"/>
          </w:tcPr>
          <w:p w14:paraId="424BDD77"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737C00F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17</w:t>
            </w:r>
          </w:p>
        </w:tc>
      </w:tr>
      <w:tr w:rsidR="0099599B" w14:paraId="18A5A9A2" w14:textId="77777777">
        <w:trPr>
          <w:trHeight w:val="300"/>
        </w:trPr>
        <w:tc>
          <w:tcPr>
            <w:tcW w:w="6663" w:type="dxa"/>
            <w:shd w:val="clear" w:color="000000" w:fill="A9D08E"/>
            <w:noWrap/>
            <w:vAlign w:val="bottom"/>
          </w:tcPr>
          <w:p w14:paraId="3A78D61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48B94C07"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07A67A12"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56879F1D" w14:textId="77777777">
        <w:trPr>
          <w:trHeight w:val="300"/>
        </w:trPr>
        <w:tc>
          <w:tcPr>
            <w:tcW w:w="6663" w:type="dxa"/>
            <w:shd w:val="clear" w:color="000000" w:fill="B4C6E7"/>
            <w:noWrap/>
            <w:vAlign w:val="center"/>
          </w:tcPr>
          <w:p w14:paraId="26695BF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 dealing with persistent water source unavailability</w:t>
            </w:r>
          </w:p>
        </w:tc>
        <w:tc>
          <w:tcPr>
            <w:tcW w:w="1814" w:type="dxa"/>
            <w:noWrap/>
            <w:vAlign w:val="center"/>
          </w:tcPr>
          <w:p w14:paraId="32F9910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 water use</w:t>
            </w:r>
          </w:p>
        </w:tc>
        <w:tc>
          <w:tcPr>
            <w:tcW w:w="1041" w:type="dxa"/>
            <w:noWrap/>
            <w:vAlign w:val="center"/>
          </w:tcPr>
          <w:p w14:paraId="2B3CCCC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713E85C1" w14:textId="77777777">
        <w:trPr>
          <w:trHeight w:val="300"/>
        </w:trPr>
        <w:tc>
          <w:tcPr>
            <w:tcW w:w="6663" w:type="dxa"/>
            <w:shd w:val="clear" w:color="000000" w:fill="B4C6E7"/>
            <w:noWrap/>
            <w:vAlign w:val="center"/>
          </w:tcPr>
          <w:p w14:paraId="2BF012A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potable water</w:t>
            </w:r>
          </w:p>
        </w:tc>
        <w:tc>
          <w:tcPr>
            <w:tcW w:w="1814" w:type="dxa"/>
            <w:noWrap/>
            <w:vAlign w:val="center"/>
          </w:tcPr>
          <w:p w14:paraId="340922F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D8FD07F" w14:textId="77777777" w:rsidR="0099599B" w:rsidRDefault="0099599B">
            <w:pPr>
              <w:spacing w:after="0" w:line="240" w:lineRule="auto"/>
              <w:rPr>
                <w:rFonts w:eastAsia="Times New Roman"/>
                <w:kern w:val="0"/>
                <w:sz w:val="20"/>
                <w:szCs w:val="20"/>
                <w14:ligatures w14:val="none"/>
              </w:rPr>
            </w:pPr>
          </w:p>
        </w:tc>
      </w:tr>
      <w:tr w:rsidR="0099599B" w14:paraId="12D5DF26" w14:textId="77777777">
        <w:trPr>
          <w:trHeight w:val="300"/>
        </w:trPr>
        <w:tc>
          <w:tcPr>
            <w:tcW w:w="6663" w:type="dxa"/>
            <w:shd w:val="clear" w:color="000000" w:fill="B4C6E7"/>
            <w:noWrap/>
            <w:vAlign w:val="center"/>
          </w:tcPr>
          <w:p w14:paraId="069E335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cost of water per month</w:t>
            </w:r>
          </w:p>
        </w:tc>
        <w:tc>
          <w:tcPr>
            <w:tcW w:w="1814" w:type="dxa"/>
            <w:noWrap/>
            <w:vAlign w:val="center"/>
          </w:tcPr>
          <w:p w14:paraId="7E24CF7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5373AC1" w14:textId="77777777" w:rsidR="0099599B" w:rsidRDefault="0099599B">
            <w:pPr>
              <w:spacing w:after="0" w:line="240" w:lineRule="auto"/>
              <w:rPr>
                <w:rFonts w:eastAsia="Times New Roman"/>
                <w:kern w:val="0"/>
                <w:sz w:val="20"/>
                <w:szCs w:val="20"/>
                <w14:ligatures w14:val="none"/>
              </w:rPr>
            </w:pPr>
          </w:p>
        </w:tc>
      </w:tr>
      <w:tr w:rsidR="0099599B" w14:paraId="5F9D8C53" w14:textId="77777777">
        <w:trPr>
          <w:trHeight w:val="300"/>
        </w:trPr>
        <w:tc>
          <w:tcPr>
            <w:tcW w:w="6663" w:type="dxa"/>
            <w:shd w:val="clear" w:color="000000" w:fill="B4C6E7"/>
            <w:noWrap/>
            <w:vAlign w:val="center"/>
          </w:tcPr>
          <w:p w14:paraId="31DE70E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without water source being available everyday</w:t>
            </w:r>
          </w:p>
        </w:tc>
        <w:tc>
          <w:tcPr>
            <w:tcW w:w="1814" w:type="dxa"/>
            <w:noWrap/>
            <w:vAlign w:val="center"/>
          </w:tcPr>
          <w:p w14:paraId="3D9DF4F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FCB26D4" w14:textId="77777777" w:rsidR="0099599B" w:rsidRDefault="0099599B">
            <w:pPr>
              <w:spacing w:after="0" w:line="240" w:lineRule="auto"/>
              <w:rPr>
                <w:rFonts w:eastAsia="Times New Roman"/>
                <w:kern w:val="0"/>
                <w:sz w:val="20"/>
                <w:szCs w:val="20"/>
                <w14:ligatures w14:val="none"/>
              </w:rPr>
            </w:pPr>
          </w:p>
        </w:tc>
      </w:tr>
      <w:tr w:rsidR="0099599B" w14:paraId="7AB3F1AB" w14:textId="77777777">
        <w:trPr>
          <w:trHeight w:val="300"/>
        </w:trPr>
        <w:tc>
          <w:tcPr>
            <w:tcW w:w="6663" w:type="dxa"/>
            <w:shd w:val="clear" w:color="000000" w:fill="B4C6E7"/>
            <w:noWrap/>
            <w:vAlign w:val="center"/>
          </w:tcPr>
          <w:p w14:paraId="3A1D28F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minutes to get to a water source not inside the household</w:t>
            </w:r>
          </w:p>
        </w:tc>
        <w:tc>
          <w:tcPr>
            <w:tcW w:w="1814" w:type="dxa"/>
            <w:noWrap/>
            <w:vAlign w:val="center"/>
          </w:tcPr>
          <w:p w14:paraId="0BBA4DC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54672EF" w14:textId="77777777" w:rsidR="0099599B" w:rsidRDefault="0099599B">
            <w:pPr>
              <w:spacing w:after="0" w:line="240" w:lineRule="auto"/>
              <w:rPr>
                <w:rFonts w:eastAsia="Times New Roman"/>
                <w:kern w:val="0"/>
                <w:sz w:val="20"/>
                <w:szCs w:val="20"/>
                <w14:ligatures w14:val="none"/>
              </w:rPr>
            </w:pPr>
          </w:p>
        </w:tc>
      </w:tr>
      <w:tr w:rsidR="0099599B" w14:paraId="72C71C0E" w14:textId="77777777">
        <w:trPr>
          <w:trHeight w:val="300"/>
        </w:trPr>
        <w:tc>
          <w:tcPr>
            <w:tcW w:w="6663" w:type="dxa"/>
            <w:shd w:val="clear" w:color="000000" w:fill="B4C6E7"/>
            <w:noWrap/>
            <w:vAlign w:val="center"/>
          </w:tcPr>
          <w:p w14:paraId="644B2BD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Conflicts about water sources in the community</w:t>
            </w:r>
          </w:p>
        </w:tc>
        <w:tc>
          <w:tcPr>
            <w:tcW w:w="1814" w:type="dxa"/>
            <w:noWrap/>
            <w:vAlign w:val="center"/>
          </w:tcPr>
          <w:p w14:paraId="32DD1D7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7C10419" w14:textId="77777777" w:rsidR="0099599B" w:rsidRDefault="0099599B">
            <w:pPr>
              <w:spacing w:after="0" w:line="240" w:lineRule="auto"/>
              <w:rPr>
                <w:rFonts w:eastAsia="Times New Roman"/>
                <w:kern w:val="0"/>
                <w:sz w:val="20"/>
                <w:szCs w:val="20"/>
                <w14:ligatures w14:val="none"/>
              </w:rPr>
            </w:pPr>
          </w:p>
        </w:tc>
      </w:tr>
      <w:tr w:rsidR="0099599B" w14:paraId="5972BFE8" w14:textId="77777777">
        <w:trPr>
          <w:trHeight w:val="300"/>
        </w:trPr>
        <w:tc>
          <w:tcPr>
            <w:tcW w:w="6663" w:type="dxa"/>
            <w:shd w:val="clear" w:color="000000" w:fill="9BC2E6"/>
            <w:noWrap/>
            <w:vAlign w:val="center"/>
          </w:tcPr>
          <w:p w14:paraId="5B8C314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coastsl storm warnings</w:t>
            </w:r>
          </w:p>
        </w:tc>
        <w:tc>
          <w:tcPr>
            <w:tcW w:w="1814" w:type="dxa"/>
            <w:noWrap/>
            <w:vAlign w:val="center"/>
          </w:tcPr>
          <w:p w14:paraId="2C4B7C1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66E4252B"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5B7A5802" w14:textId="77777777">
        <w:trPr>
          <w:trHeight w:val="300"/>
        </w:trPr>
        <w:tc>
          <w:tcPr>
            <w:tcW w:w="6663" w:type="dxa"/>
            <w:shd w:val="clear" w:color="000000" w:fill="9BC2E6"/>
            <w:noWrap/>
            <w:vAlign w:val="center"/>
          </w:tcPr>
          <w:p w14:paraId="2239069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 km or less from shoreline</w:t>
            </w:r>
          </w:p>
        </w:tc>
        <w:tc>
          <w:tcPr>
            <w:tcW w:w="1814" w:type="dxa"/>
            <w:noWrap/>
            <w:vAlign w:val="center"/>
          </w:tcPr>
          <w:p w14:paraId="00BEAA7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D9F833C" w14:textId="77777777" w:rsidR="0099599B" w:rsidRDefault="0099599B">
            <w:pPr>
              <w:spacing w:after="0" w:line="240" w:lineRule="auto"/>
              <w:rPr>
                <w:rFonts w:eastAsia="Times New Roman"/>
                <w:kern w:val="0"/>
                <w:sz w:val="20"/>
                <w:szCs w:val="20"/>
                <w14:ligatures w14:val="none"/>
              </w:rPr>
            </w:pPr>
          </w:p>
        </w:tc>
      </w:tr>
      <w:tr w:rsidR="0099599B" w14:paraId="3112C742" w14:textId="77777777">
        <w:trPr>
          <w:trHeight w:val="300"/>
        </w:trPr>
        <w:tc>
          <w:tcPr>
            <w:tcW w:w="6663" w:type="dxa"/>
            <w:shd w:val="clear" w:color="000000" w:fill="9BC2E6"/>
            <w:noWrap/>
            <w:vAlign w:val="center"/>
          </w:tcPr>
          <w:p w14:paraId="7F8F277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31E912F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58A2DFB" w14:textId="77777777" w:rsidR="0099599B" w:rsidRDefault="0099599B">
            <w:pPr>
              <w:spacing w:after="0" w:line="240" w:lineRule="auto"/>
              <w:rPr>
                <w:rFonts w:eastAsia="Times New Roman"/>
                <w:kern w:val="0"/>
                <w:sz w:val="20"/>
                <w:szCs w:val="20"/>
                <w14:ligatures w14:val="none"/>
              </w:rPr>
            </w:pPr>
          </w:p>
        </w:tc>
      </w:tr>
      <w:tr w:rsidR="0099599B" w14:paraId="4EA01F6C" w14:textId="77777777">
        <w:trPr>
          <w:trHeight w:val="300"/>
        </w:trPr>
        <w:tc>
          <w:tcPr>
            <w:tcW w:w="6663" w:type="dxa"/>
            <w:shd w:val="clear" w:color="000000" w:fill="8EA9DB"/>
            <w:noWrap/>
            <w:vAlign w:val="center"/>
          </w:tcPr>
          <w:p w14:paraId="3872F6F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Proportion of farm under irrigation</w:t>
            </w:r>
          </w:p>
        </w:tc>
        <w:tc>
          <w:tcPr>
            <w:tcW w:w="1814" w:type="dxa"/>
            <w:noWrap/>
            <w:vAlign w:val="center"/>
          </w:tcPr>
          <w:p w14:paraId="2D79EA6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Farm water use</w:t>
            </w:r>
          </w:p>
        </w:tc>
        <w:tc>
          <w:tcPr>
            <w:tcW w:w="1041" w:type="dxa"/>
            <w:noWrap/>
            <w:vAlign w:val="center"/>
          </w:tcPr>
          <w:p w14:paraId="392153F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1405A1DB" w14:textId="77777777">
        <w:trPr>
          <w:trHeight w:val="300"/>
        </w:trPr>
        <w:tc>
          <w:tcPr>
            <w:tcW w:w="6663" w:type="dxa"/>
            <w:shd w:val="clear" w:color="000000" w:fill="8EA9DB"/>
            <w:noWrap/>
            <w:vAlign w:val="center"/>
          </w:tcPr>
          <w:p w14:paraId="6FE25E8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access to water for dry season farming</w:t>
            </w:r>
          </w:p>
        </w:tc>
        <w:tc>
          <w:tcPr>
            <w:tcW w:w="1814" w:type="dxa"/>
            <w:shd w:val="clear" w:color="000000" w:fill="FFC000"/>
            <w:noWrap/>
            <w:vAlign w:val="center"/>
          </w:tcPr>
          <w:p w14:paraId="5A5066C2"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59830FE5"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128A730D" w14:textId="77777777">
        <w:trPr>
          <w:trHeight w:val="300"/>
        </w:trPr>
        <w:tc>
          <w:tcPr>
            <w:tcW w:w="6663" w:type="dxa"/>
            <w:shd w:val="clear" w:color="000000" w:fill="8EA9DB"/>
            <w:noWrap/>
            <w:vAlign w:val="center"/>
          </w:tcPr>
          <w:p w14:paraId="371F03F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3BE8A194"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668B8C1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11</w:t>
            </w:r>
          </w:p>
        </w:tc>
      </w:tr>
      <w:tr w:rsidR="0099599B" w14:paraId="0633AF26" w14:textId="77777777">
        <w:trPr>
          <w:trHeight w:val="300"/>
        </w:trPr>
        <w:tc>
          <w:tcPr>
            <w:tcW w:w="6663" w:type="dxa"/>
            <w:shd w:val="clear" w:color="000000" w:fill="8EA9DB"/>
            <w:noWrap/>
            <w:vAlign w:val="center"/>
          </w:tcPr>
          <w:p w14:paraId="646C76A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30103EE8"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7A4A0F23"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49579C4E" w14:textId="77777777">
        <w:trPr>
          <w:trHeight w:val="300"/>
        </w:trPr>
        <w:tc>
          <w:tcPr>
            <w:tcW w:w="6663" w:type="dxa"/>
            <w:shd w:val="clear" w:color="000000" w:fill="FCE4D6"/>
            <w:noWrap/>
            <w:vAlign w:val="center"/>
          </w:tcPr>
          <w:p w14:paraId="07D2FAF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43F32F2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6365897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7</w:t>
            </w:r>
          </w:p>
        </w:tc>
      </w:tr>
      <w:tr w:rsidR="0099599B" w14:paraId="5311148B" w14:textId="77777777">
        <w:trPr>
          <w:trHeight w:val="300"/>
        </w:trPr>
        <w:tc>
          <w:tcPr>
            <w:tcW w:w="6663" w:type="dxa"/>
            <w:shd w:val="clear" w:color="000000" w:fill="FCE4D6"/>
            <w:noWrap/>
            <w:vAlign w:val="center"/>
          </w:tcPr>
          <w:p w14:paraId="411442C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4152184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57ACCD7" w14:textId="77777777" w:rsidR="0099599B" w:rsidRDefault="0099599B">
            <w:pPr>
              <w:spacing w:after="0" w:line="240" w:lineRule="auto"/>
              <w:rPr>
                <w:rFonts w:eastAsia="Times New Roman"/>
                <w:kern w:val="0"/>
                <w:sz w:val="20"/>
                <w:szCs w:val="20"/>
                <w14:ligatures w14:val="none"/>
              </w:rPr>
            </w:pPr>
          </w:p>
        </w:tc>
      </w:tr>
      <w:tr w:rsidR="0099599B" w14:paraId="7B19FD2D" w14:textId="77777777">
        <w:trPr>
          <w:trHeight w:val="300"/>
        </w:trPr>
        <w:tc>
          <w:tcPr>
            <w:tcW w:w="6663" w:type="dxa"/>
            <w:shd w:val="clear" w:color="000000" w:fill="FCE4D6"/>
            <w:noWrap/>
            <w:vAlign w:val="center"/>
          </w:tcPr>
          <w:p w14:paraId="514DFA6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forest pest and disease outbreak</w:t>
            </w:r>
          </w:p>
        </w:tc>
        <w:tc>
          <w:tcPr>
            <w:tcW w:w="1814" w:type="dxa"/>
            <w:noWrap/>
            <w:vAlign w:val="center"/>
          </w:tcPr>
          <w:p w14:paraId="378D10F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9CFFC97" w14:textId="77777777" w:rsidR="0099599B" w:rsidRDefault="0099599B">
            <w:pPr>
              <w:spacing w:after="0" w:line="240" w:lineRule="auto"/>
              <w:rPr>
                <w:rFonts w:eastAsia="Times New Roman"/>
                <w:kern w:val="0"/>
                <w:sz w:val="20"/>
                <w:szCs w:val="20"/>
                <w14:ligatures w14:val="none"/>
              </w:rPr>
            </w:pPr>
          </w:p>
        </w:tc>
      </w:tr>
      <w:tr w:rsidR="0099599B" w14:paraId="1D00F633" w14:textId="77777777">
        <w:trPr>
          <w:trHeight w:val="300"/>
        </w:trPr>
        <w:tc>
          <w:tcPr>
            <w:tcW w:w="6663" w:type="dxa"/>
            <w:shd w:val="clear" w:color="000000" w:fill="FCE4D6"/>
            <w:noWrap/>
            <w:vAlign w:val="center"/>
          </w:tcPr>
          <w:p w14:paraId="2F129CC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Number of forest fires  have occurred in this community since 10 years ago </w:t>
            </w:r>
          </w:p>
        </w:tc>
        <w:tc>
          <w:tcPr>
            <w:tcW w:w="1814" w:type="dxa"/>
            <w:noWrap/>
            <w:vAlign w:val="center"/>
          </w:tcPr>
          <w:p w14:paraId="7814B09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CC78332" w14:textId="77777777" w:rsidR="0099599B" w:rsidRDefault="0099599B">
            <w:pPr>
              <w:spacing w:after="0" w:line="240" w:lineRule="auto"/>
              <w:rPr>
                <w:rFonts w:eastAsia="Times New Roman"/>
                <w:kern w:val="0"/>
                <w:sz w:val="20"/>
                <w:szCs w:val="20"/>
                <w14:ligatures w14:val="none"/>
              </w:rPr>
            </w:pPr>
          </w:p>
        </w:tc>
      </w:tr>
      <w:tr w:rsidR="0099599B" w14:paraId="233198F1" w14:textId="77777777">
        <w:trPr>
          <w:trHeight w:val="300"/>
        </w:trPr>
        <w:tc>
          <w:tcPr>
            <w:tcW w:w="6663" w:type="dxa"/>
            <w:shd w:val="clear" w:color="000000" w:fill="FCE4D6"/>
            <w:noWrap/>
            <w:vAlign w:val="center"/>
          </w:tcPr>
          <w:p w14:paraId="48F1BE9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7D2AA72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85BC215" w14:textId="77777777" w:rsidR="0099599B" w:rsidRDefault="0099599B">
            <w:pPr>
              <w:spacing w:after="0" w:line="240" w:lineRule="auto"/>
              <w:rPr>
                <w:rFonts w:eastAsia="Times New Roman"/>
                <w:kern w:val="0"/>
                <w:sz w:val="20"/>
                <w:szCs w:val="20"/>
                <w14:ligatures w14:val="none"/>
              </w:rPr>
            </w:pPr>
          </w:p>
        </w:tc>
      </w:tr>
      <w:tr w:rsidR="0099599B" w14:paraId="4E7918A5" w14:textId="77777777">
        <w:trPr>
          <w:trHeight w:val="300"/>
        </w:trPr>
        <w:tc>
          <w:tcPr>
            <w:tcW w:w="6663" w:type="dxa"/>
            <w:shd w:val="clear" w:color="000000" w:fill="FCE4D6"/>
            <w:noWrap/>
            <w:vAlign w:val="center"/>
          </w:tcPr>
          <w:p w14:paraId="40C50BF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62683E2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425F01B" w14:textId="77777777" w:rsidR="0099599B" w:rsidRDefault="0099599B">
            <w:pPr>
              <w:spacing w:after="0" w:line="240" w:lineRule="auto"/>
              <w:rPr>
                <w:rFonts w:eastAsia="Times New Roman"/>
                <w:kern w:val="0"/>
                <w:sz w:val="20"/>
                <w:szCs w:val="20"/>
                <w14:ligatures w14:val="none"/>
              </w:rPr>
            </w:pPr>
          </w:p>
        </w:tc>
      </w:tr>
      <w:tr w:rsidR="0099599B" w14:paraId="09C66BFC" w14:textId="77777777">
        <w:trPr>
          <w:trHeight w:val="300"/>
        </w:trPr>
        <w:tc>
          <w:tcPr>
            <w:tcW w:w="6663" w:type="dxa"/>
            <w:shd w:val="clear" w:color="000000" w:fill="FCE4D6"/>
            <w:noWrap/>
            <w:vAlign w:val="center"/>
          </w:tcPr>
          <w:p w14:paraId="16B34DC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77BCA5D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B32DFF5" w14:textId="77777777" w:rsidR="0099599B" w:rsidRDefault="0099599B">
            <w:pPr>
              <w:spacing w:after="0" w:line="240" w:lineRule="auto"/>
              <w:rPr>
                <w:rFonts w:eastAsia="Times New Roman"/>
                <w:kern w:val="0"/>
                <w:sz w:val="20"/>
                <w:szCs w:val="20"/>
                <w14:ligatures w14:val="none"/>
              </w:rPr>
            </w:pPr>
          </w:p>
        </w:tc>
      </w:tr>
      <w:tr w:rsidR="0099599B" w14:paraId="61AF59BC" w14:textId="77777777">
        <w:trPr>
          <w:trHeight w:val="300"/>
        </w:trPr>
        <w:tc>
          <w:tcPr>
            <w:tcW w:w="6663" w:type="dxa"/>
            <w:shd w:val="clear" w:color="000000" w:fill="F8CBAD"/>
            <w:noWrap/>
            <w:vAlign w:val="center"/>
          </w:tcPr>
          <w:p w14:paraId="1C295BF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79B90BA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4B0032F2"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0DB672D4" w14:textId="77777777">
        <w:trPr>
          <w:trHeight w:val="300"/>
        </w:trPr>
        <w:tc>
          <w:tcPr>
            <w:tcW w:w="6663" w:type="dxa"/>
            <w:shd w:val="clear" w:color="000000" w:fill="F8CBAD"/>
            <w:noWrap/>
            <w:vAlign w:val="center"/>
          </w:tcPr>
          <w:p w14:paraId="1F1269C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206FA62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6469B08" w14:textId="77777777" w:rsidR="0099599B" w:rsidRDefault="0099599B">
            <w:pPr>
              <w:spacing w:after="0" w:line="240" w:lineRule="auto"/>
              <w:rPr>
                <w:rFonts w:eastAsia="Times New Roman"/>
                <w:kern w:val="0"/>
                <w:sz w:val="20"/>
                <w:szCs w:val="20"/>
                <w14:ligatures w14:val="none"/>
              </w:rPr>
            </w:pPr>
          </w:p>
        </w:tc>
      </w:tr>
      <w:tr w:rsidR="0099599B" w14:paraId="6D4E7C7B" w14:textId="77777777">
        <w:trPr>
          <w:trHeight w:val="300"/>
        </w:trPr>
        <w:tc>
          <w:tcPr>
            <w:tcW w:w="6663" w:type="dxa"/>
            <w:shd w:val="clear" w:color="000000" w:fill="F8CBAD"/>
            <w:noWrap/>
            <w:vAlign w:val="center"/>
          </w:tcPr>
          <w:p w14:paraId="2B5FD84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16F9DF0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AEE26AD" w14:textId="77777777" w:rsidR="0099599B" w:rsidRDefault="0099599B">
            <w:pPr>
              <w:spacing w:after="0" w:line="240" w:lineRule="auto"/>
              <w:rPr>
                <w:rFonts w:eastAsia="Times New Roman"/>
                <w:kern w:val="0"/>
                <w:sz w:val="20"/>
                <w:szCs w:val="20"/>
                <w14:ligatures w14:val="none"/>
              </w:rPr>
            </w:pPr>
          </w:p>
        </w:tc>
      </w:tr>
      <w:tr w:rsidR="0099599B" w14:paraId="7AA80FF5" w14:textId="77777777">
        <w:trPr>
          <w:trHeight w:val="300"/>
        </w:trPr>
        <w:tc>
          <w:tcPr>
            <w:tcW w:w="6663" w:type="dxa"/>
            <w:shd w:val="clear" w:color="000000" w:fill="F8CBAD"/>
            <w:noWrap/>
            <w:vAlign w:val="center"/>
          </w:tcPr>
          <w:p w14:paraId="770A7F6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68C5A07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0A9517E" w14:textId="77777777" w:rsidR="0099599B" w:rsidRDefault="0099599B">
            <w:pPr>
              <w:spacing w:after="0" w:line="240" w:lineRule="auto"/>
              <w:rPr>
                <w:rFonts w:eastAsia="Times New Roman"/>
                <w:kern w:val="0"/>
                <w:sz w:val="20"/>
                <w:szCs w:val="20"/>
                <w14:ligatures w14:val="none"/>
              </w:rPr>
            </w:pPr>
          </w:p>
        </w:tc>
      </w:tr>
      <w:tr w:rsidR="0099599B" w14:paraId="4601F6AD" w14:textId="77777777">
        <w:trPr>
          <w:trHeight w:val="300"/>
        </w:trPr>
        <w:tc>
          <w:tcPr>
            <w:tcW w:w="6663" w:type="dxa"/>
            <w:shd w:val="clear" w:color="000000" w:fill="F8CBAD"/>
            <w:noWrap/>
            <w:vAlign w:val="center"/>
          </w:tcPr>
          <w:p w14:paraId="1C792B4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shd w:val="clear" w:color="000000" w:fill="FFC000"/>
            <w:noWrap/>
            <w:vAlign w:val="center"/>
          </w:tcPr>
          <w:p w14:paraId="6F7D4EBA"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354227E9"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12</w:t>
            </w:r>
          </w:p>
        </w:tc>
      </w:tr>
      <w:tr w:rsidR="0099599B" w14:paraId="59147A5B" w14:textId="77777777">
        <w:trPr>
          <w:trHeight w:val="300"/>
        </w:trPr>
        <w:tc>
          <w:tcPr>
            <w:tcW w:w="6663" w:type="dxa"/>
            <w:noWrap/>
            <w:vAlign w:val="bottom"/>
          </w:tcPr>
          <w:p w14:paraId="54612D4D" w14:textId="77777777" w:rsidR="0099599B" w:rsidRDefault="0099599B">
            <w:pPr>
              <w:spacing w:after="0" w:line="240" w:lineRule="auto"/>
              <w:jc w:val="right"/>
              <w:rPr>
                <w:rFonts w:ascii="Calibri" w:eastAsia="Times New Roman" w:hAnsi="Calibri" w:cs="Calibri"/>
                <w:color w:val="000000"/>
                <w:kern w:val="0"/>
                <w:sz w:val="22"/>
                <w:szCs w:val="22"/>
                <w14:ligatures w14:val="none"/>
              </w:rPr>
            </w:pPr>
          </w:p>
        </w:tc>
        <w:tc>
          <w:tcPr>
            <w:tcW w:w="1814" w:type="dxa"/>
            <w:noWrap/>
            <w:vAlign w:val="center"/>
          </w:tcPr>
          <w:p w14:paraId="2F13D6BD"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2721DC7D" w14:textId="77777777" w:rsidR="0099599B" w:rsidRDefault="0099599B">
            <w:pPr>
              <w:spacing w:after="0" w:line="240" w:lineRule="auto"/>
              <w:rPr>
                <w:rFonts w:eastAsia="Times New Roman"/>
                <w:kern w:val="0"/>
                <w:sz w:val="20"/>
                <w:szCs w:val="20"/>
                <w14:ligatures w14:val="none"/>
              </w:rPr>
            </w:pPr>
          </w:p>
        </w:tc>
      </w:tr>
      <w:tr w:rsidR="0099599B" w14:paraId="0045398B" w14:textId="77777777">
        <w:trPr>
          <w:trHeight w:val="300"/>
        </w:trPr>
        <w:tc>
          <w:tcPr>
            <w:tcW w:w="6663" w:type="dxa"/>
            <w:noWrap/>
            <w:vAlign w:val="bottom"/>
          </w:tcPr>
          <w:p w14:paraId="01A6D1D3" w14:textId="77777777" w:rsidR="0099599B" w:rsidRDefault="0099599B">
            <w:pPr>
              <w:spacing w:after="0" w:line="240" w:lineRule="auto"/>
              <w:rPr>
                <w:rFonts w:eastAsia="Times New Roman"/>
                <w:kern w:val="0"/>
                <w:sz w:val="20"/>
                <w:szCs w:val="20"/>
                <w14:ligatures w14:val="none"/>
              </w:rPr>
            </w:pPr>
          </w:p>
        </w:tc>
        <w:tc>
          <w:tcPr>
            <w:tcW w:w="1814" w:type="dxa"/>
            <w:noWrap/>
            <w:vAlign w:val="center"/>
          </w:tcPr>
          <w:p w14:paraId="77CC3A2E"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70E0EF32" w14:textId="77777777" w:rsidR="0099599B" w:rsidRDefault="0099599B">
            <w:pPr>
              <w:spacing w:after="0" w:line="240" w:lineRule="auto"/>
              <w:rPr>
                <w:rFonts w:eastAsia="Times New Roman"/>
                <w:kern w:val="0"/>
                <w:sz w:val="20"/>
                <w:szCs w:val="20"/>
                <w14:ligatures w14:val="none"/>
              </w:rPr>
            </w:pPr>
          </w:p>
        </w:tc>
      </w:tr>
      <w:tr w:rsidR="0099599B" w14:paraId="31113E79" w14:textId="77777777">
        <w:trPr>
          <w:trHeight w:val="300"/>
        </w:trPr>
        <w:tc>
          <w:tcPr>
            <w:tcW w:w="6663" w:type="dxa"/>
            <w:noWrap/>
            <w:vAlign w:val="center"/>
          </w:tcPr>
          <w:p w14:paraId="7ABD3E04"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Agriculture and Food Security</w:t>
            </w:r>
          </w:p>
        </w:tc>
        <w:tc>
          <w:tcPr>
            <w:tcW w:w="1814" w:type="dxa"/>
            <w:noWrap/>
            <w:vAlign w:val="center"/>
          </w:tcPr>
          <w:p w14:paraId="49012C52" w14:textId="77777777" w:rsidR="0099599B" w:rsidRDefault="0099599B">
            <w:pPr>
              <w:spacing w:after="0" w:line="240" w:lineRule="auto"/>
              <w:jc w:val="center"/>
              <w:rPr>
                <w:rFonts w:ascii="Calibri" w:eastAsia="Times New Roman" w:hAnsi="Calibri" w:cs="Calibri"/>
                <w:b/>
                <w:bCs/>
                <w:color w:val="000000"/>
                <w:kern w:val="0"/>
                <w:sz w:val="22"/>
                <w:szCs w:val="22"/>
                <w14:ligatures w14:val="none"/>
              </w:rPr>
            </w:pPr>
          </w:p>
        </w:tc>
        <w:tc>
          <w:tcPr>
            <w:tcW w:w="1041" w:type="dxa"/>
            <w:noWrap/>
            <w:vAlign w:val="center"/>
          </w:tcPr>
          <w:p w14:paraId="4D0E1A3C" w14:textId="77777777" w:rsidR="0099599B" w:rsidRDefault="0099599B">
            <w:pPr>
              <w:spacing w:after="0" w:line="240" w:lineRule="auto"/>
              <w:rPr>
                <w:rFonts w:eastAsia="Times New Roman"/>
                <w:kern w:val="0"/>
                <w:sz w:val="20"/>
                <w:szCs w:val="20"/>
                <w14:ligatures w14:val="none"/>
              </w:rPr>
            </w:pPr>
          </w:p>
        </w:tc>
      </w:tr>
      <w:tr w:rsidR="0099599B" w14:paraId="1654A7CB" w14:textId="77777777">
        <w:trPr>
          <w:trHeight w:val="300"/>
        </w:trPr>
        <w:tc>
          <w:tcPr>
            <w:tcW w:w="6663" w:type="dxa"/>
            <w:shd w:val="clear" w:color="000000" w:fill="E2EFDA"/>
            <w:noWrap/>
            <w:vAlign w:val="center"/>
          </w:tcPr>
          <w:p w14:paraId="7D96772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with no Education</w:t>
            </w:r>
          </w:p>
        </w:tc>
        <w:tc>
          <w:tcPr>
            <w:tcW w:w="1814" w:type="dxa"/>
            <w:noWrap/>
            <w:vAlign w:val="center"/>
          </w:tcPr>
          <w:p w14:paraId="1066132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36F95593"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08A4DC10" w14:textId="77777777">
        <w:trPr>
          <w:trHeight w:val="300"/>
        </w:trPr>
        <w:tc>
          <w:tcPr>
            <w:tcW w:w="6663" w:type="dxa"/>
            <w:shd w:val="clear" w:color="000000" w:fill="E2EFDA"/>
            <w:noWrap/>
            <w:vAlign w:val="center"/>
          </w:tcPr>
          <w:p w14:paraId="48B5E3D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Unemployed</w:t>
            </w:r>
          </w:p>
        </w:tc>
        <w:tc>
          <w:tcPr>
            <w:tcW w:w="1814" w:type="dxa"/>
            <w:noWrap/>
            <w:vAlign w:val="center"/>
          </w:tcPr>
          <w:p w14:paraId="04F2D22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274DF3B" w14:textId="77777777" w:rsidR="0099599B" w:rsidRDefault="0099599B">
            <w:pPr>
              <w:spacing w:after="0" w:line="240" w:lineRule="auto"/>
              <w:rPr>
                <w:rFonts w:eastAsia="Times New Roman"/>
                <w:kern w:val="0"/>
                <w:sz w:val="20"/>
                <w:szCs w:val="20"/>
                <w14:ligatures w14:val="none"/>
              </w:rPr>
            </w:pPr>
          </w:p>
        </w:tc>
      </w:tr>
      <w:tr w:rsidR="0099599B" w14:paraId="754AFF30" w14:textId="77777777">
        <w:trPr>
          <w:trHeight w:val="300"/>
        </w:trPr>
        <w:tc>
          <w:tcPr>
            <w:tcW w:w="6663" w:type="dxa"/>
            <w:shd w:val="clear" w:color="000000" w:fill="C6E0B4"/>
            <w:noWrap/>
            <w:vAlign w:val="center"/>
          </w:tcPr>
          <w:p w14:paraId="379B0E9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engaged in any secondary occupation</w:t>
            </w:r>
          </w:p>
        </w:tc>
        <w:tc>
          <w:tcPr>
            <w:tcW w:w="1814" w:type="dxa"/>
            <w:noWrap/>
            <w:vAlign w:val="center"/>
          </w:tcPr>
          <w:p w14:paraId="528B298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w:t>
            </w:r>
          </w:p>
        </w:tc>
        <w:tc>
          <w:tcPr>
            <w:tcW w:w="1041" w:type="dxa"/>
            <w:noWrap/>
            <w:vAlign w:val="center"/>
          </w:tcPr>
          <w:p w14:paraId="3FC4A06B"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13</w:t>
            </w:r>
          </w:p>
        </w:tc>
      </w:tr>
      <w:tr w:rsidR="0099599B" w14:paraId="09279ED6" w14:textId="77777777">
        <w:trPr>
          <w:trHeight w:val="300"/>
        </w:trPr>
        <w:tc>
          <w:tcPr>
            <w:tcW w:w="6663" w:type="dxa"/>
            <w:shd w:val="clear" w:color="000000" w:fill="C6E0B4"/>
            <w:noWrap/>
            <w:vAlign w:val="center"/>
          </w:tcPr>
          <w:p w14:paraId="592CB7D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agriculture as only source of income</w:t>
            </w:r>
          </w:p>
        </w:tc>
        <w:tc>
          <w:tcPr>
            <w:tcW w:w="1814" w:type="dxa"/>
            <w:noWrap/>
            <w:vAlign w:val="center"/>
          </w:tcPr>
          <w:p w14:paraId="23969AF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C49F7E" w14:textId="77777777" w:rsidR="0099599B" w:rsidRDefault="0099599B">
            <w:pPr>
              <w:spacing w:after="0" w:line="240" w:lineRule="auto"/>
              <w:rPr>
                <w:rFonts w:eastAsia="Times New Roman"/>
                <w:kern w:val="0"/>
                <w:sz w:val="20"/>
                <w:szCs w:val="20"/>
                <w14:ligatures w14:val="none"/>
              </w:rPr>
            </w:pPr>
          </w:p>
        </w:tc>
      </w:tr>
      <w:tr w:rsidR="0099599B" w14:paraId="79CD98B0" w14:textId="77777777">
        <w:trPr>
          <w:trHeight w:val="300"/>
        </w:trPr>
        <w:tc>
          <w:tcPr>
            <w:tcW w:w="6663" w:type="dxa"/>
            <w:shd w:val="clear" w:color="000000" w:fill="C6E0B4"/>
            <w:noWrap/>
            <w:vAlign w:val="center"/>
          </w:tcPr>
          <w:p w14:paraId="5005271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civil or government as only source of income</w:t>
            </w:r>
          </w:p>
        </w:tc>
        <w:tc>
          <w:tcPr>
            <w:tcW w:w="1814" w:type="dxa"/>
            <w:noWrap/>
            <w:vAlign w:val="center"/>
          </w:tcPr>
          <w:p w14:paraId="70B9BC2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07313DC" w14:textId="77777777" w:rsidR="0099599B" w:rsidRDefault="0099599B">
            <w:pPr>
              <w:spacing w:after="0" w:line="240" w:lineRule="auto"/>
              <w:rPr>
                <w:rFonts w:eastAsia="Times New Roman"/>
                <w:kern w:val="0"/>
                <w:sz w:val="20"/>
                <w:szCs w:val="20"/>
                <w14:ligatures w14:val="none"/>
              </w:rPr>
            </w:pPr>
          </w:p>
        </w:tc>
      </w:tr>
      <w:tr w:rsidR="0099599B" w14:paraId="60235CBF" w14:textId="77777777">
        <w:trPr>
          <w:trHeight w:val="300"/>
        </w:trPr>
        <w:tc>
          <w:tcPr>
            <w:tcW w:w="6663" w:type="dxa"/>
            <w:shd w:val="clear" w:color="000000" w:fill="C6E0B4"/>
            <w:noWrap/>
            <w:vAlign w:val="center"/>
          </w:tcPr>
          <w:p w14:paraId="5F6799D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private sector (busisness) as only source of income</w:t>
            </w:r>
          </w:p>
        </w:tc>
        <w:tc>
          <w:tcPr>
            <w:tcW w:w="1814" w:type="dxa"/>
            <w:noWrap/>
            <w:vAlign w:val="center"/>
          </w:tcPr>
          <w:p w14:paraId="24868BE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8B2D85D" w14:textId="77777777" w:rsidR="0099599B" w:rsidRDefault="0099599B">
            <w:pPr>
              <w:spacing w:after="0" w:line="240" w:lineRule="auto"/>
              <w:rPr>
                <w:rFonts w:eastAsia="Times New Roman"/>
                <w:kern w:val="0"/>
                <w:sz w:val="20"/>
                <w:szCs w:val="20"/>
                <w14:ligatures w14:val="none"/>
              </w:rPr>
            </w:pPr>
          </w:p>
        </w:tc>
      </w:tr>
      <w:tr w:rsidR="0099599B" w14:paraId="2FF4CDE7" w14:textId="77777777">
        <w:trPr>
          <w:trHeight w:val="300"/>
        </w:trPr>
        <w:tc>
          <w:tcPr>
            <w:tcW w:w="6663" w:type="dxa"/>
            <w:shd w:val="clear" w:color="000000" w:fill="C6E0B4"/>
            <w:noWrap/>
            <w:vAlign w:val="center"/>
          </w:tcPr>
          <w:p w14:paraId="47A9F9F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fishing as only source of income</w:t>
            </w:r>
          </w:p>
        </w:tc>
        <w:tc>
          <w:tcPr>
            <w:tcW w:w="1814" w:type="dxa"/>
            <w:noWrap/>
            <w:vAlign w:val="center"/>
          </w:tcPr>
          <w:p w14:paraId="5EE7EFE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2EBED21" w14:textId="77777777" w:rsidR="0099599B" w:rsidRDefault="0099599B">
            <w:pPr>
              <w:spacing w:after="0" w:line="240" w:lineRule="auto"/>
              <w:rPr>
                <w:rFonts w:eastAsia="Times New Roman"/>
                <w:kern w:val="0"/>
                <w:sz w:val="20"/>
                <w:szCs w:val="20"/>
                <w14:ligatures w14:val="none"/>
              </w:rPr>
            </w:pPr>
          </w:p>
        </w:tc>
      </w:tr>
      <w:tr w:rsidR="0099599B" w14:paraId="0603F94D" w14:textId="77777777">
        <w:trPr>
          <w:trHeight w:val="300"/>
        </w:trPr>
        <w:tc>
          <w:tcPr>
            <w:tcW w:w="6663" w:type="dxa"/>
            <w:shd w:val="clear" w:color="000000" w:fill="C6E0B4"/>
            <w:noWrap/>
            <w:vAlign w:val="center"/>
          </w:tcPr>
          <w:p w14:paraId="5D8BD24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%Households without member working outside community</w:t>
            </w:r>
          </w:p>
        </w:tc>
        <w:tc>
          <w:tcPr>
            <w:tcW w:w="1814" w:type="dxa"/>
            <w:noWrap/>
            <w:vAlign w:val="center"/>
          </w:tcPr>
          <w:p w14:paraId="580E3FC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5B1EDFE" w14:textId="77777777" w:rsidR="0099599B" w:rsidRDefault="0099599B">
            <w:pPr>
              <w:spacing w:after="0" w:line="240" w:lineRule="auto"/>
              <w:rPr>
                <w:rFonts w:eastAsia="Times New Roman"/>
                <w:kern w:val="0"/>
                <w:sz w:val="20"/>
                <w:szCs w:val="20"/>
                <w14:ligatures w14:val="none"/>
              </w:rPr>
            </w:pPr>
          </w:p>
        </w:tc>
      </w:tr>
      <w:tr w:rsidR="0099599B" w14:paraId="6CAD4F1C" w14:textId="77777777">
        <w:trPr>
          <w:trHeight w:val="300"/>
        </w:trPr>
        <w:tc>
          <w:tcPr>
            <w:tcW w:w="6663" w:type="dxa"/>
            <w:shd w:val="clear" w:color="000000" w:fill="C6E0B4"/>
            <w:noWrap/>
            <w:vAlign w:val="center"/>
          </w:tcPr>
          <w:p w14:paraId="617FB22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7AE237F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389E89A" w14:textId="77777777" w:rsidR="0099599B" w:rsidRDefault="0099599B">
            <w:pPr>
              <w:spacing w:after="0" w:line="240" w:lineRule="auto"/>
              <w:rPr>
                <w:rFonts w:eastAsia="Times New Roman"/>
                <w:kern w:val="0"/>
                <w:sz w:val="20"/>
                <w:szCs w:val="20"/>
                <w14:ligatures w14:val="none"/>
              </w:rPr>
            </w:pPr>
          </w:p>
        </w:tc>
      </w:tr>
      <w:tr w:rsidR="0099599B" w14:paraId="405D7184" w14:textId="77777777">
        <w:trPr>
          <w:trHeight w:val="300"/>
        </w:trPr>
        <w:tc>
          <w:tcPr>
            <w:tcW w:w="6663" w:type="dxa"/>
            <w:shd w:val="clear" w:color="000000" w:fill="C6E0B4"/>
            <w:noWrap/>
            <w:vAlign w:val="center"/>
          </w:tcPr>
          <w:p w14:paraId="4FC0C5F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obtaining income from the forestry sector</w:t>
            </w:r>
          </w:p>
        </w:tc>
        <w:tc>
          <w:tcPr>
            <w:tcW w:w="1814" w:type="dxa"/>
            <w:noWrap/>
            <w:vAlign w:val="center"/>
          </w:tcPr>
          <w:p w14:paraId="3177FBB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01350F" w14:textId="77777777" w:rsidR="0099599B" w:rsidRDefault="0099599B">
            <w:pPr>
              <w:spacing w:after="0" w:line="240" w:lineRule="auto"/>
              <w:rPr>
                <w:rFonts w:eastAsia="Times New Roman"/>
                <w:kern w:val="0"/>
                <w:sz w:val="20"/>
                <w:szCs w:val="20"/>
                <w14:ligatures w14:val="none"/>
              </w:rPr>
            </w:pPr>
          </w:p>
        </w:tc>
      </w:tr>
      <w:tr w:rsidR="0099599B" w14:paraId="20E39781" w14:textId="77777777">
        <w:trPr>
          <w:trHeight w:val="300"/>
        </w:trPr>
        <w:tc>
          <w:tcPr>
            <w:tcW w:w="6663" w:type="dxa"/>
            <w:shd w:val="clear" w:color="000000" w:fill="C6E0B4"/>
            <w:noWrap/>
            <w:vAlign w:val="center"/>
          </w:tcPr>
          <w:p w14:paraId="5BD8B27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growing 1 more crop</w:t>
            </w:r>
          </w:p>
        </w:tc>
        <w:tc>
          <w:tcPr>
            <w:tcW w:w="1814" w:type="dxa"/>
            <w:noWrap/>
            <w:vAlign w:val="center"/>
          </w:tcPr>
          <w:p w14:paraId="23434D1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7F0EDE7" w14:textId="77777777" w:rsidR="0099599B" w:rsidRDefault="0099599B">
            <w:pPr>
              <w:spacing w:after="0" w:line="240" w:lineRule="auto"/>
              <w:rPr>
                <w:rFonts w:eastAsia="Times New Roman"/>
                <w:kern w:val="0"/>
                <w:sz w:val="20"/>
                <w:szCs w:val="20"/>
                <w14:ligatures w14:val="none"/>
              </w:rPr>
            </w:pPr>
          </w:p>
        </w:tc>
      </w:tr>
      <w:tr w:rsidR="0099599B" w14:paraId="0727424B" w14:textId="77777777">
        <w:trPr>
          <w:trHeight w:val="300"/>
        </w:trPr>
        <w:tc>
          <w:tcPr>
            <w:tcW w:w="6663" w:type="dxa"/>
            <w:shd w:val="clear" w:color="000000" w:fill="C6E0B4"/>
            <w:noWrap/>
            <w:vAlign w:val="center"/>
          </w:tcPr>
          <w:p w14:paraId="5637E88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rearing livestock</w:t>
            </w:r>
          </w:p>
        </w:tc>
        <w:tc>
          <w:tcPr>
            <w:tcW w:w="1814" w:type="dxa"/>
            <w:noWrap/>
            <w:vAlign w:val="center"/>
          </w:tcPr>
          <w:p w14:paraId="39DFA95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470D1A3" w14:textId="77777777" w:rsidR="0099599B" w:rsidRDefault="0099599B">
            <w:pPr>
              <w:spacing w:after="0" w:line="240" w:lineRule="auto"/>
              <w:rPr>
                <w:rFonts w:eastAsia="Times New Roman"/>
                <w:kern w:val="0"/>
                <w:sz w:val="20"/>
                <w:szCs w:val="20"/>
                <w14:ligatures w14:val="none"/>
              </w:rPr>
            </w:pPr>
          </w:p>
        </w:tc>
      </w:tr>
      <w:tr w:rsidR="0099599B" w14:paraId="0167483E" w14:textId="77777777">
        <w:trPr>
          <w:trHeight w:val="300"/>
        </w:trPr>
        <w:tc>
          <w:tcPr>
            <w:tcW w:w="6663" w:type="dxa"/>
            <w:shd w:val="clear" w:color="000000" w:fill="C6E0B4"/>
            <w:noWrap/>
            <w:vAlign w:val="center"/>
          </w:tcPr>
          <w:p w14:paraId="0826F63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left due to climate/environmental changes in last 5 years?</w:t>
            </w:r>
          </w:p>
        </w:tc>
        <w:tc>
          <w:tcPr>
            <w:tcW w:w="1814" w:type="dxa"/>
            <w:noWrap/>
            <w:vAlign w:val="center"/>
          </w:tcPr>
          <w:p w14:paraId="59BF591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CC9B667" w14:textId="77777777" w:rsidR="0099599B" w:rsidRDefault="0099599B">
            <w:pPr>
              <w:spacing w:after="0" w:line="240" w:lineRule="auto"/>
              <w:rPr>
                <w:rFonts w:eastAsia="Times New Roman"/>
                <w:kern w:val="0"/>
                <w:sz w:val="20"/>
                <w:szCs w:val="20"/>
                <w14:ligatures w14:val="none"/>
              </w:rPr>
            </w:pPr>
          </w:p>
        </w:tc>
      </w:tr>
      <w:tr w:rsidR="0099599B" w14:paraId="632C6AC5" w14:textId="77777777">
        <w:trPr>
          <w:trHeight w:val="300"/>
        </w:trPr>
        <w:tc>
          <w:tcPr>
            <w:tcW w:w="6663" w:type="dxa"/>
            <w:shd w:val="clear" w:color="000000" w:fill="C6E0B4"/>
            <w:noWrap/>
            <w:vAlign w:val="center"/>
          </w:tcPr>
          <w:p w14:paraId="724B163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Interested in agricultural insurance but cannot afford</w:t>
            </w:r>
          </w:p>
        </w:tc>
        <w:tc>
          <w:tcPr>
            <w:tcW w:w="1814" w:type="dxa"/>
            <w:noWrap/>
            <w:vAlign w:val="center"/>
          </w:tcPr>
          <w:p w14:paraId="459F1AF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3DA2790" w14:textId="77777777" w:rsidR="0099599B" w:rsidRDefault="0099599B">
            <w:pPr>
              <w:spacing w:after="0" w:line="240" w:lineRule="auto"/>
              <w:rPr>
                <w:rFonts w:eastAsia="Times New Roman"/>
                <w:kern w:val="0"/>
                <w:sz w:val="20"/>
                <w:szCs w:val="20"/>
                <w14:ligatures w14:val="none"/>
              </w:rPr>
            </w:pPr>
          </w:p>
        </w:tc>
      </w:tr>
      <w:tr w:rsidR="0099599B" w14:paraId="62D34721" w14:textId="77777777">
        <w:trPr>
          <w:trHeight w:val="300"/>
        </w:trPr>
        <w:tc>
          <w:tcPr>
            <w:tcW w:w="6663" w:type="dxa"/>
            <w:shd w:val="clear" w:color="000000" w:fill="C6E0B4"/>
            <w:noWrap/>
            <w:vAlign w:val="center"/>
          </w:tcPr>
          <w:p w14:paraId="3A08EEE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suscribed to agricultural insurance</w:t>
            </w:r>
          </w:p>
        </w:tc>
        <w:tc>
          <w:tcPr>
            <w:tcW w:w="1814" w:type="dxa"/>
            <w:noWrap/>
            <w:vAlign w:val="center"/>
          </w:tcPr>
          <w:p w14:paraId="03C18D2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351C3DA" w14:textId="77777777" w:rsidR="0099599B" w:rsidRDefault="0099599B">
            <w:pPr>
              <w:spacing w:after="0" w:line="240" w:lineRule="auto"/>
              <w:rPr>
                <w:rFonts w:eastAsia="Times New Roman"/>
                <w:kern w:val="0"/>
                <w:sz w:val="20"/>
                <w:szCs w:val="20"/>
                <w14:ligatures w14:val="none"/>
              </w:rPr>
            </w:pPr>
          </w:p>
        </w:tc>
      </w:tr>
      <w:tr w:rsidR="0099599B" w14:paraId="7D3F5918" w14:textId="77777777">
        <w:trPr>
          <w:trHeight w:val="300"/>
        </w:trPr>
        <w:tc>
          <w:tcPr>
            <w:tcW w:w="6663" w:type="dxa"/>
            <w:shd w:val="clear" w:color="000000" w:fill="A9D08E"/>
            <w:noWrap/>
            <w:vAlign w:val="center"/>
          </w:tcPr>
          <w:p w14:paraId="5E5C9B0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21B40D7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1374A735"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15</w:t>
            </w:r>
          </w:p>
        </w:tc>
      </w:tr>
      <w:tr w:rsidR="0099599B" w14:paraId="61C84D62" w14:textId="77777777">
        <w:trPr>
          <w:trHeight w:val="300"/>
        </w:trPr>
        <w:tc>
          <w:tcPr>
            <w:tcW w:w="6663" w:type="dxa"/>
            <w:shd w:val="clear" w:color="000000" w:fill="A9D08E"/>
            <w:noWrap/>
            <w:vAlign w:val="center"/>
          </w:tcPr>
          <w:p w14:paraId="0249DA7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aware of any gender association or organisation in their community</w:t>
            </w:r>
          </w:p>
        </w:tc>
        <w:tc>
          <w:tcPr>
            <w:tcW w:w="1814" w:type="dxa"/>
            <w:noWrap/>
            <w:vAlign w:val="center"/>
          </w:tcPr>
          <w:p w14:paraId="664DEA1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61AEB78" w14:textId="77777777" w:rsidR="0099599B" w:rsidRDefault="0099599B">
            <w:pPr>
              <w:spacing w:after="0" w:line="240" w:lineRule="auto"/>
              <w:rPr>
                <w:rFonts w:eastAsia="Times New Roman"/>
                <w:kern w:val="0"/>
                <w:sz w:val="20"/>
                <w:szCs w:val="20"/>
                <w14:ligatures w14:val="none"/>
              </w:rPr>
            </w:pPr>
          </w:p>
        </w:tc>
      </w:tr>
      <w:tr w:rsidR="0099599B" w14:paraId="4E77EC32" w14:textId="77777777">
        <w:trPr>
          <w:trHeight w:val="300"/>
        </w:trPr>
        <w:tc>
          <w:tcPr>
            <w:tcW w:w="6663" w:type="dxa"/>
            <w:shd w:val="clear" w:color="000000" w:fill="A9D08E"/>
            <w:noWrap/>
            <w:vAlign w:val="center"/>
          </w:tcPr>
          <w:p w14:paraId="5C4D8CE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communities without there any gender  related government social interventions (e.g.,   LEAP, s </w:t>
            </w:r>
          </w:p>
        </w:tc>
        <w:tc>
          <w:tcPr>
            <w:tcW w:w="1814" w:type="dxa"/>
            <w:noWrap/>
            <w:vAlign w:val="center"/>
          </w:tcPr>
          <w:p w14:paraId="2624689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DCE4D4A" w14:textId="77777777" w:rsidR="0099599B" w:rsidRDefault="0099599B">
            <w:pPr>
              <w:spacing w:after="0" w:line="240" w:lineRule="auto"/>
              <w:rPr>
                <w:rFonts w:eastAsia="Times New Roman"/>
                <w:kern w:val="0"/>
                <w:sz w:val="20"/>
                <w:szCs w:val="20"/>
                <w14:ligatures w14:val="none"/>
              </w:rPr>
            </w:pPr>
          </w:p>
        </w:tc>
      </w:tr>
      <w:tr w:rsidR="0099599B" w14:paraId="359F50E9" w14:textId="77777777">
        <w:trPr>
          <w:trHeight w:val="300"/>
        </w:trPr>
        <w:tc>
          <w:tcPr>
            <w:tcW w:w="6663" w:type="dxa"/>
            <w:shd w:val="clear" w:color="000000" w:fill="A9D08E"/>
            <w:noWrap/>
            <w:vAlign w:val="center"/>
          </w:tcPr>
          <w:p w14:paraId="69AD0B9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2EA34A8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96EAAE8" w14:textId="77777777" w:rsidR="0099599B" w:rsidRDefault="0099599B">
            <w:pPr>
              <w:spacing w:after="0" w:line="240" w:lineRule="auto"/>
              <w:rPr>
                <w:rFonts w:eastAsia="Times New Roman"/>
                <w:kern w:val="0"/>
                <w:sz w:val="20"/>
                <w:szCs w:val="20"/>
                <w14:ligatures w14:val="none"/>
              </w:rPr>
            </w:pPr>
          </w:p>
        </w:tc>
      </w:tr>
      <w:tr w:rsidR="0099599B" w14:paraId="40F3792D" w14:textId="77777777">
        <w:trPr>
          <w:trHeight w:val="300"/>
        </w:trPr>
        <w:tc>
          <w:tcPr>
            <w:tcW w:w="6663" w:type="dxa"/>
            <w:shd w:val="clear" w:color="000000" w:fill="A9D08E"/>
            <w:noWrap/>
            <w:vAlign w:val="center"/>
          </w:tcPr>
          <w:p w14:paraId="3BEFD13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7A38F06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56BBB0B" w14:textId="77777777" w:rsidR="0099599B" w:rsidRDefault="0099599B">
            <w:pPr>
              <w:spacing w:after="0" w:line="240" w:lineRule="auto"/>
              <w:rPr>
                <w:rFonts w:eastAsia="Times New Roman"/>
                <w:kern w:val="0"/>
                <w:sz w:val="20"/>
                <w:szCs w:val="20"/>
                <w14:ligatures w14:val="none"/>
              </w:rPr>
            </w:pPr>
          </w:p>
        </w:tc>
      </w:tr>
      <w:tr w:rsidR="0099599B" w14:paraId="046A4E89" w14:textId="77777777">
        <w:trPr>
          <w:trHeight w:val="300"/>
        </w:trPr>
        <w:tc>
          <w:tcPr>
            <w:tcW w:w="6663" w:type="dxa"/>
            <w:shd w:val="clear" w:color="000000" w:fill="A9D08E"/>
            <w:noWrap/>
            <w:vAlign w:val="center"/>
          </w:tcPr>
          <w:p w14:paraId="577C87A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Government Organisation</w:t>
            </w:r>
          </w:p>
        </w:tc>
        <w:tc>
          <w:tcPr>
            <w:tcW w:w="1814" w:type="dxa"/>
            <w:noWrap/>
            <w:vAlign w:val="center"/>
          </w:tcPr>
          <w:p w14:paraId="5F6C85A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1513BA7" w14:textId="77777777" w:rsidR="0099599B" w:rsidRDefault="0099599B">
            <w:pPr>
              <w:spacing w:after="0" w:line="240" w:lineRule="auto"/>
              <w:rPr>
                <w:rFonts w:eastAsia="Times New Roman"/>
                <w:kern w:val="0"/>
                <w:sz w:val="20"/>
                <w:szCs w:val="20"/>
                <w14:ligatures w14:val="none"/>
              </w:rPr>
            </w:pPr>
          </w:p>
        </w:tc>
      </w:tr>
      <w:tr w:rsidR="0099599B" w14:paraId="0C31960A" w14:textId="77777777">
        <w:trPr>
          <w:trHeight w:val="300"/>
        </w:trPr>
        <w:tc>
          <w:tcPr>
            <w:tcW w:w="6663" w:type="dxa"/>
            <w:shd w:val="clear" w:color="000000" w:fill="A9D08E"/>
            <w:noWrap/>
            <w:vAlign w:val="center"/>
          </w:tcPr>
          <w:p w14:paraId="7D53A19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credit</w:t>
            </w:r>
          </w:p>
        </w:tc>
        <w:tc>
          <w:tcPr>
            <w:tcW w:w="1814" w:type="dxa"/>
            <w:noWrap/>
            <w:vAlign w:val="center"/>
          </w:tcPr>
          <w:p w14:paraId="0C6A935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FA44680" w14:textId="77777777" w:rsidR="0099599B" w:rsidRDefault="0099599B">
            <w:pPr>
              <w:spacing w:after="0" w:line="240" w:lineRule="auto"/>
              <w:rPr>
                <w:rFonts w:eastAsia="Times New Roman"/>
                <w:kern w:val="0"/>
                <w:sz w:val="20"/>
                <w:szCs w:val="20"/>
                <w14:ligatures w14:val="none"/>
              </w:rPr>
            </w:pPr>
          </w:p>
        </w:tc>
      </w:tr>
      <w:tr w:rsidR="0099599B" w14:paraId="140F6A38" w14:textId="77777777">
        <w:trPr>
          <w:trHeight w:val="300"/>
        </w:trPr>
        <w:tc>
          <w:tcPr>
            <w:tcW w:w="6663" w:type="dxa"/>
            <w:shd w:val="clear" w:color="000000" w:fill="A9D08E"/>
            <w:noWrap/>
            <w:vAlign w:val="center"/>
          </w:tcPr>
          <w:p w14:paraId="6555A2B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215069A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4F2DCDA" w14:textId="77777777" w:rsidR="0099599B" w:rsidRDefault="0099599B">
            <w:pPr>
              <w:spacing w:after="0" w:line="240" w:lineRule="auto"/>
              <w:rPr>
                <w:rFonts w:eastAsia="Times New Roman"/>
                <w:kern w:val="0"/>
                <w:sz w:val="20"/>
                <w:szCs w:val="20"/>
                <w14:ligatures w14:val="none"/>
              </w:rPr>
            </w:pPr>
          </w:p>
        </w:tc>
      </w:tr>
      <w:tr w:rsidR="0099599B" w14:paraId="59DDA777" w14:textId="77777777">
        <w:trPr>
          <w:trHeight w:val="300"/>
        </w:trPr>
        <w:tc>
          <w:tcPr>
            <w:tcW w:w="6663" w:type="dxa"/>
            <w:shd w:val="clear" w:color="000000" w:fill="A9D08E"/>
            <w:noWrap/>
            <w:vAlign w:val="center"/>
          </w:tcPr>
          <w:p w14:paraId="2E6AA3B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noWrap/>
            <w:vAlign w:val="center"/>
          </w:tcPr>
          <w:p w14:paraId="4C174DE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513F653" w14:textId="77777777" w:rsidR="0099599B" w:rsidRDefault="0099599B">
            <w:pPr>
              <w:spacing w:after="0" w:line="240" w:lineRule="auto"/>
              <w:rPr>
                <w:rFonts w:eastAsia="Times New Roman"/>
                <w:kern w:val="0"/>
                <w:sz w:val="20"/>
                <w:szCs w:val="20"/>
                <w14:ligatures w14:val="none"/>
              </w:rPr>
            </w:pPr>
          </w:p>
        </w:tc>
      </w:tr>
      <w:tr w:rsidR="0099599B" w14:paraId="4D3BC37B" w14:textId="77777777">
        <w:trPr>
          <w:trHeight w:val="300"/>
        </w:trPr>
        <w:tc>
          <w:tcPr>
            <w:tcW w:w="6663" w:type="dxa"/>
            <w:shd w:val="clear" w:color="000000" w:fill="A9D08E"/>
            <w:noWrap/>
            <w:vAlign w:val="center"/>
          </w:tcPr>
          <w:p w14:paraId="276E6DD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associated with any Farmer Based Organization (FBO)</w:t>
            </w:r>
          </w:p>
        </w:tc>
        <w:tc>
          <w:tcPr>
            <w:tcW w:w="1814" w:type="dxa"/>
            <w:noWrap/>
            <w:vAlign w:val="center"/>
          </w:tcPr>
          <w:p w14:paraId="5279141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A03C225" w14:textId="77777777" w:rsidR="0099599B" w:rsidRDefault="0099599B">
            <w:pPr>
              <w:spacing w:after="0" w:line="240" w:lineRule="auto"/>
              <w:rPr>
                <w:rFonts w:eastAsia="Times New Roman"/>
                <w:kern w:val="0"/>
                <w:sz w:val="20"/>
                <w:szCs w:val="20"/>
                <w14:ligatures w14:val="none"/>
              </w:rPr>
            </w:pPr>
          </w:p>
        </w:tc>
      </w:tr>
      <w:tr w:rsidR="0099599B" w14:paraId="76F37294" w14:textId="77777777">
        <w:trPr>
          <w:trHeight w:val="300"/>
        </w:trPr>
        <w:tc>
          <w:tcPr>
            <w:tcW w:w="6663" w:type="dxa"/>
            <w:shd w:val="clear" w:color="000000" w:fill="A9D08E"/>
            <w:noWrap/>
            <w:vAlign w:val="center"/>
          </w:tcPr>
          <w:p w14:paraId="08C72ED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associated with any Agriculture Extention Agent (AEA)</w:t>
            </w:r>
          </w:p>
        </w:tc>
        <w:tc>
          <w:tcPr>
            <w:tcW w:w="1814" w:type="dxa"/>
            <w:noWrap/>
            <w:vAlign w:val="center"/>
          </w:tcPr>
          <w:p w14:paraId="5C5B8EF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F889CC8" w14:textId="77777777" w:rsidR="0099599B" w:rsidRDefault="0099599B">
            <w:pPr>
              <w:spacing w:after="0" w:line="240" w:lineRule="auto"/>
              <w:rPr>
                <w:rFonts w:eastAsia="Times New Roman"/>
                <w:kern w:val="0"/>
                <w:sz w:val="20"/>
                <w:szCs w:val="20"/>
                <w14:ligatures w14:val="none"/>
              </w:rPr>
            </w:pPr>
          </w:p>
        </w:tc>
      </w:tr>
      <w:tr w:rsidR="0099599B" w14:paraId="7CC73378" w14:textId="77777777">
        <w:trPr>
          <w:trHeight w:val="300"/>
        </w:trPr>
        <w:tc>
          <w:tcPr>
            <w:tcW w:w="6663" w:type="dxa"/>
            <w:shd w:val="clear" w:color="000000" w:fill="A9D08E"/>
            <w:noWrap/>
            <w:vAlign w:val="center"/>
          </w:tcPr>
          <w:p w14:paraId="747F945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irrigation (rainfall dependent)</w:t>
            </w:r>
          </w:p>
        </w:tc>
        <w:tc>
          <w:tcPr>
            <w:tcW w:w="1814" w:type="dxa"/>
            <w:noWrap/>
            <w:vAlign w:val="center"/>
          </w:tcPr>
          <w:p w14:paraId="5D6BDD0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E0BFBCA" w14:textId="77777777" w:rsidR="0099599B" w:rsidRDefault="0099599B">
            <w:pPr>
              <w:spacing w:after="0" w:line="240" w:lineRule="auto"/>
              <w:rPr>
                <w:rFonts w:eastAsia="Times New Roman"/>
                <w:kern w:val="0"/>
                <w:sz w:val="20"/>
                <w:szCs w:val="20"/>
                <w14:ligatures w14:val="none"/>
              </w:rPr>
            </w:pPr>
          </w:p>
        </w:tc>
      </w:tr>
      <w:tr w:rsidR="0099599B" w14:paraId="1B1E38E5" w14:textId="77777777">
        <w:trPr>
          <w:trHeight w:val="300"/>
        </w:trPr>
        <w:tc>
          <w:tcPr>
            <w:tcW w:w="6663" w:type="dxa"/>
            <w:shd w:val="clear" w:color="000000" w:fill="A9D08E"/>
            <w:noWrap/>
            <w:vAlign w:val="center"/>
          </w:tcPr>
          <w:p w14:paraId="010E808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access to information on production methods and systems</w:t>
            </w:r>
          </w:p>
        </w:tc>
        <w:tc>
          <w:tcPr>
            <w:tcW w:w="1814" w:type="dxa"/>
            <w:noWrap/>
            <w:vAlign w:val="center"/>
          </w:tcPr>
          <w:p w14:paraId="246661B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6C05234" w14:textId="77777777" w:rsidR="0099599B" w:rsidRDefault="0099599B">
            <w:pPr>
              <w:spacing w:after="0" w:line="240" w:lineRule="auto"/>
              <w:rPr>
                <w:rFonts w:eastAsia="Times New Roman"/>
                <w:kern w:val="0"/>
                <w:sz w:val="20"/>
                <w:szCs w:val="20"/>
                <w14:ligatures w14:val="none"/>
              </w:rPr>
            </w:pPr>
          </w:p>
        </w:tc>
      </w:tr>
      <w:tr w:rsidR="0099599B" w14:paraId="2531CB8D" w14:textId="77777777">
        <w:trPr>
          <w:trHeight w:val="300"/>
        </w:trPr>
        <w:tc>
          <w:tcPr>
            <w:tcW w:w="6663" w:type="dxa"/>
            <w:shd w:val="clear" w:color="000000" w:fill="A9D08E"/>
            <w:noWrap/>
            <w:vAlign w:val="center"/>
          </w:tcPr>
          <w:p w14:paraId="71797A8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knowledge about agricultural insurance</w:t>
            </w:r>
          </w:p>
        </w:tc>
        <w:tc>
          <w:tcPr>
            <w:tcW w:w="1814" w:type="dxa"/>
            <w:noWrap/>
            <w:vAlign w:val="center"/>
          </w:tcPr>
          <w:p w14:paraId="5C5E5A4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AB963AE" w14:textId="77777777" w:rsidR="0099599B" w:rsidRDefault="0099599B">
            <w:pPr>
              <w:spacing w:after="0" w:line="240" w:lineRule="auto"/>
              <w:rPr>
                <w:rFonts w:eastAsia="Times New Roman"/>
                <w:kern w:val="0"/>
                <w:sz w:val="20"/>
                <w:szCs w:val="20"/>
                <w14:ligatures w14:val="none"/>
              </w:rPr>
            </w:pPr>
          </w:p>
        </w:tc>
      </w:tr>
      <w:tr w:rsidR="0099599B" w14:paraId="597DB5A7" w14:textId="77777777">
        <w:trPr>
          <w:trHeight w:val="300"/>
        </w:trPr>
        <w:tc>
          <w:tcPr>
            <w:tcW w:w="6663" w:type="dxa"/>
            <w:shd w:val="clear" w:color="000000" w:fill="A9D08E"/>
            <w:noWrap/>
            <w:vAlign w:val="center"/>
          </w:tcPr>
          <w:p w14:paraId="025AA2B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Size of farm (acres)</w:t>
            </w:r>
          </w:p>
        </w:tc>
        <w:tc>
          <w:tcPr>
            <w:tcW w:w="1814" w:type="dxa"/>
            <w:shd w:val="clear" w:color="000000" w:fill="FFC000"/>
            <w:noWrap/>
            <w:vAlign w:val="center"/>
          </w:tcPr>
          <w:p w14:paraId="6A1FF1D5"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668D658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30</w:t>
            </w:r>
          </w:p>
        </w:tc>
      </w:tr>
      <w:tr w:rsidR="0099599B" w14:paraId="1A93E6FF" w14:textId="77777777">
        <w:trPr>
          <w:trHeight w:val="300"/>
        </w:trPr>
        <w:tc>
          <w:tcPr>
            <w:tcW w:w="6663" w:type="dxa"/>
            <w:shd w:val="clear" w:color="000000" w:fill="A9D08E"/>
            <w:noWrap/>
            <w:vAlign w:val="center"/>
          </w:tcPr>
          <w:p w14:paraId="46AEA2E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34AD677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7B6631DD"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3290B0D0" w14:textId="77777777">
        <w:trPr>
          <w:trHeight w:val="300"/>
        </w:trPr>
        <w:tc>
          <w:tcPr>
            <w:tcW w:w="6663" w:type="dxa"/>
            <w:shd w:val="clear" w:color="000000" w:fill="ACB9CA"/>
            <w:noWrap/>
            <w:vAlign w:val="center"/>
          </w:tcPr>
          <w:p w14:paraId="371173E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Proportion of farm under irrigation</w:t>
            </w:r>
          </w:p>
        </w:tc>
        <w:tc>
          <w:tcPr>
            <w:tcW w:w="1814" w:type="dxa"/>
            <w:noWrap/>
            <w:vAlign w:val="center"/>
          </w:tcPr>
          <w:p w14:paraId="3398C97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Food prodution</w:t>
            </w:r>
          </w:p>
        </w:tc>
        <w:tc>
          <w:tcPr>
            <w:tcW w:w="1041" w:type="dxa"/>
            <w:noWrap/>
            <w:vAlign w:val="center"/>
          </w:tcPr>
          <w:p w14:paraId="07751AC5"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0A87E6D6" w14:textId="77777777">
        <w:trPr>
          <w:trHeight w:val="300"/>
        </w:trPr>
        <w:tc>
          <w:tcPr>
            <w:tcW w:w="6663" w:type="dxa"/>
            <w:shd w:val="clear" w:color="000000" w:fill="ACB9CA"/>
            <w:noWrap/>
            <w:vAlign w:val="center"/>
          </w:tcPr>
          <w:p w14:paraId="73DBECB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access to water for dry season farming</w:t>
            </w:r>
          </w:p>
        </w:tc>
        <w:tc>
          <w:tcPr>
            <w:tcW w:w="1814" w:type="dxa"/>
            <w:noWrap/>
            <w:vAlign w:val="center"/>
          </w:tcPr>
          <w:p w14:paraId="5714D11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4A64A94" w14:textId="77777777" w:rsidR="0099599B" w:rsidRDefault="0099599B">
            <w:pPr>
              <w:spacing w:after="0" w:line="240" w:lineRule="auto"/>
              <w:rPr>
                <w:rFonts w:eastAsia="Times New Roman"/>
                <w:kern w:val="0"/>
                <w:sz w:val="20"/>
                <w:szCs w:val="20"/>
                <w14:ligatures w14:val="none"/>
              </w:rPr>
            </w:pPr>
          </w:p>
        </w:tc>
      </w:tr>
      <w:tr w:rsidR="0099599B" w14:paraId="7BE84296" w14:textId="77777777">
        <w:trPr>
          <w:trHeight w:val="300"/>
        </w:trPr>
        <w:tc>
          <w:tcPr>
            <w:tcW w:w="6663" w:type="dxa"/>
            <w:shd w:val="clear" w:color="000000" w:fill="ACB9CA"/>
            <w:noWrap/>
            <w:vAlign w:val="center"/>
          </w:tcPr>
          <w:p w14:paraId="1AAF55C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of Total output lost as post-harvest loses</w:t>
            </w:r>
          </w:p>
        </w:tc>
        <w:tc>
          <w:tcPr>
            <w:tcW w:w="1814" w:type="dxa"/>
            <w:noWrap/>
            <w:vAlign w:val="center"/>
          </w:tcPr>
          <w:p w14:paraId="537A189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E0F4C21" w14:textId="77777777" w:rsidR="0099599B" w:rsidRDefault="0099599B">
            <w:pPr>
              <w:spacing w:after="0" w:line="240" w:lineRule="auto"/>
              <w:rPr>
                <w:rFonts w:eastAsia="Times New Roman"/>
                <w:kern w:val="0"/>
                <w:sz w:val="20"/>
                <w:szCs w:val="20"/>
                <w14:ligatures w14:val="none"/>
              </w:rPr>
            </w:pPr>
          </w:p>
        </w:tc>
      </w:tr>
      <w:tr w:rsidR="0099599B" w14:paraId="1F5BAA47" w14:textId="77777777">
        <w:trPr>
          <w:trHeight w:val="300"/>
        </w:trPr>
        <w:tc>
          <w:tcPr>
            <w:tcW w:w="6663" w:type="dxa"/>
            <w:shd w:val="clear" w:color="000000" w:fill="4472C4"/>
            <w:noWrap/>
            <w:vAlign w:val="center"/>
          </w:tcPr>
          <w:p w14:paraId="184F61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 dealing with persistent water source unavailability</w:t>
            </w:r>
          </w:p>
        </w:tc>
        <w:tc>
          <w:tcPr>
            <w:tcW w:w="1814" w:type="dxa"/>
            <w:noWrap/>
            <w:vAlign w:val="center"/>
          </w:tcPr>
          <w:p w14:paraId="386E02B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Water for agriculture and agriculture households</w:t>
            </w:r>
          </w:p>
        </w:tc>
        <w:tc>
          <w:tcPr>
            <w:tcW w:w="1041" w:type="dxa"/>
            <w:noWrap/>
            <w:vAlign w:val="center"/>
          </w:tcPr>
          <w:p w14:paraId="6F6C0DD5"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6989DF96" w14:textId="77777777">
        <w:trPr>
          <w:trHeight w:val="300"/>
        </w:trPr>
        <w:tc>
          <w:tcPr>
            <w:tcW w:w="6663" w:type="dxa"/>
            <w:shd w:val="clear" w:color="000000" w:fill="4472C4"/>
            <w:noWrap/>
            <w:vAlign w:val="center"/>
          </w:tcPr>
          <w:p w14:paraId="1AA0300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Without access to potable water</w:t>
            </w:r>
          </w:p>
        </w:tc>
        <w:tc>
          <w:tcPr>
            <w:tcW w:w="1814" w:type="dxa"/>
            <w:noWrap/>
            <w:vAlign w:val="center"/>
          </w:tcPr>
          <w:p w14:paraId="0E60166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74913D0" w14:textId="77777777" w:rsidR="0099599B" w:rsidRDefault="0099599B">
            <w:pPr>
              <w:spacing w:after="0" w:line="240" w:lineRule="auto"/>
              <w:rPr>
                <w:rFonts w:eastAsia="Times New Roman"/>
                <w:kern w:val="0"/>
                <w:sz w:val="20"/>
                <w:szCs w:val="20"/>
                <w14:ligatures w14:val="none"/>
              </w:rPr>
            </w:pPr>
          </w:p>
        </w:tc>
      </w:tr>
      <w:tr w:rsidR="0099599B" w14:paraId="42FBE3B1" w14:textId="77777777">
        <w:trPr>
          <w:trHeight w:val="300"/>
        </w:trPr>
        <w:tc>
          <w:tcPr>
            <w:tcW w:w="6663" w:type="dxa"/>
            <w:shd w:val="clear" w:color="000000" w:fill="4472C4"/>
            <w:noWrap/>
            <w:vAlign w:val="center"/>
          </w:tcPr>
          <w:p w14:paraId="6953733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cost of water per month</w:t>
            </w:r>
          </w:p>
        </w:tc>
        <w:tc>
          <w:tcPr>
            <w:tcW w:w="1814" w:type="dxa"/>
            <w:noWrap/>
            <w:vAlign w:val="center"/>
          </w:tcPr>
          <w:p w14:paraId="4177797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F7ABEF1" w14:textId="77777777" w:rsidR="0099599B" w:rsidRDefault="0099599B">
            <w:pPr>
              <w:spacing w:after="0" w:line="240" w:lineRule="auto"/>
              <w:rPr>
                <w:rFonts w:eastAsia="Times New Roman"/>
                <w:kern w:val="0"/>
                <w:sz w:val="20"/>
                <w:szCs w:val="20"/>
                <w14:ligatures w14:val="none"/>
              </w:rPr>
            </w:pPr>
          </w:p>
        </w:tc>
      </w:tr>
      <w:tr w:rsidR="0099599B" w14:paraId="1000D9C7" w14:textId="77777777">
        <w:trPr>
          <w:trHeight w:val="300"/>
        </w:trPr>
        <w:tc>
          <w:tcPr>
            <w:tcW w:w="6663" w:type="dxa"/>
            <w:shd w:val="clear" w:color="000000" w:fill="4472C4"/>
            <w:noWrap/>
            <w:vAlign w:val="center"/>
          </w:tcPr>
          <w:p w14:paraId="545AC35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without water source being available everyday</w:t>
            </w:r>
          </w:p>
        </w:tc>
        <w:tc>
          <w:tcPr>
            <w:tcW w:w="1814" w:type="dxa"/>
            <w:noWrap/>
            <w:vAlign w:val="center"/>
          </w:tcPr>
          <w:p w14:paraId="390573E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13BD902" w14:textId="77777777" w:rsidR="0099599B" w:rsidRDefault="0099599B">
            <w:pPr>
              <w:spacing w:after="0" w:line="240" w:lineRule="auto"/>
              <w:rPr>
                <w:rFonts w:eastAsia="Times New Roman"/>
                <w:kern w:val="0"/>
                <w:sz w:val="20"/>
                <w:szCs w:val="20"/>
                <w14:ligatures w14:val="none"/>
              </w:rPr>
            </w:pPr>
          </w:p>
        </w:tc>
      </w:tr>
      <w:tr w:rsidR="0099599B" w14:paraId="3B9D9BA9" w14:textId="77777777">
        <w:trPr>
          <w:trHeight w:val="300"/>
        </w:trPr>
        <w:tc>
          <w:tcPr>
            <w:tcW w:w="6663" w:type="dxa"/>
            <w:shd w:val="clear" w:color="000000" w:fill="4472C4"/>
            <w:noWrap/>
            <w:vAlign w:val="center"/>
          </w:tcPr>
          <w:p w14:paraId="0BAF55A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minutes to get to a water source not inside the household</w:t>
            </w:r>
          </w:p>
        </w:tc>
        <w:tc>
          <w:tcPr>
            <w:tcW w:w="1814" w:type="dxa"/>
            <w:noWrap/>
            <w:vAlign w:val="center"/>
          </w:tcPr>
          <w:p w14:paraId="6076920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FCD21FC" w14:textId="77777777" w:rsidR="0099599B" w:rsidRDefault="0099599B">
            <w:pPr>
              <w:spacing w:after="0" w:line="240" w:lineRule="auto"/>
              <w:rPr>
                <w:rFonts w:eastAsia="Times New Roman"/>
                <w:kern w:val="0"/>
                <w:sz w:val="20"/>
                <w:szCs w:val="20"/>
                <w14:ligatures w14:val="none"/>
              </w:rPr>
            </w:pPr>
          </w:p>
        </w:tc>
      </w:tr>
      <w:tr w:rsidR="0099599B" w14:paraId="6BAB7BDE" w14:textId="77777777">
        <w:trPr>
          <w:trHeight w:val="300"/>
        </w:trPr>
        <w:tc>
          <w:tcPr>
            <w:tcW w:w="6663" w:type="dxa"/>
            <w:shd w:val="clear" w:color="000000" w:fill="4472C4"/>
            <w:noWrap/>
            <w:vAlign w:val="center"/>
          </w:tcPr>
          <w:p w14:paraId="2869777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Conflicts about water sources in the community</w:t>
            </w:r>
          </w:p>
        </w:tc>
        <w:tc>
          <w:tcPr>
            <w:tcW w:w="1814" w:type="dxa"/>
            <w:noWrap/>
            <w:vAlign w:val="center"/>
          </w:tcPr>
          <w:p w14:paraId="7117E3B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C88EAFB" w14:textId="77777777" w:rsidR="0099599B" w:rsidRDefault="0099599B">
            <w:pPr>
              <w:spacing w:after="0" w:line="240" w:lineRule="auto"/>
              <w:rPr>
                <w:rFonts w:eastAsia="Times New Roman"/>
                <w:kern w:val="0"/>
                <w:sz w:val="20"/>
                <w:szCs w:val="20"/>
                <w14:ligatures w14:val="none"/>
              </w:rPr>
            </w:pPr>
          </w:p>
        </w:tc>
      </w:tr>
      <w:tr w:rsidR="0099599B" w14:paraId="34A37E9E" w14:textId="77777777">
        <w:trPr>
          <w:trHeight w:val="300"/>
        </w:trPr>
        <w:tc>
          <w:tcPr>
            <w:tcW w:w="6663" w:type="dxa"/>
            <w:shd w:val="clear" w:color="000000" w:fill="8EA9DB"/>
            <w:noWrap/>
            <w:vAlign w:val="center"/>
          </w:tcPr>
          <w:p w14:paraId="2CBBE7F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coastsl storm warnings</w:t>
            </w:r>
          </w:p>
        </w:tc>
        <w:tc>
          <w:tcPr>
            <w:tcW w:w="1814" w:type="dxa"/>
            <w:noWrap/>
            <w:vAlign w:val="center"/>
          </w:tcPr>
          <w:p w14:paraId="3FBDB86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6C59306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412B5DCB" w14:textId="77777777">
        <w:trPr>
          <w:trHeight w:val="300"/>
        </w:trPr>
        <w:tc>
          <w:tcPr>
            <w:tcW w:w="6663" w:type="dxa"/>
            <w:shd w:val="clear" w:color="000000" w:fill="8EA9DB"/>
            <w:noWrap/>
            <w:vAlign w:val="center"/>
          </w:tcPr>
          <w:p w14:paraId="7F3D561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 km or less from shoreline</w:t>
            </w:r>
          </w:p>
        </w:tc>
        <w:tc>
          <w:tcPr>
            <w:tcW w:w="1814" w:type="dxa"/>
            <w:noWrap/>
            <w:vAlign w:val="center"/>
          </w:tcPr>
          <w:p w14:paraId="6F1C1F9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4F409DE" w14:textId="77777777" w:rsidR="0099599B" w:rsidRDefault="0099599B">
            <w:pPr>
              <w:spacing w:after="0" w:line="240" w:lineRule="auto"/>
              <w:rPr>
                <w:rFonts w:eastAsia="Times New Roman"/>
                <w:kern w:val="0"/>
                <w:sz w:val="20"/>
                <w:szCs w:val="20"/>
                <w14:ligatures w14:val="none"/>
              </w:rPr>
            </w:pPr>
          </w:p>
        </w:tc>
      </w:tr>
      <w:tr w:rsidR="0099599B" w14:paraId="3827E2B5" w14:textId="77777777">
        <w:trPr>
          <w:trHeight w:val="300"/>
        </w:trPr>
        <w:tc>
          <w:tcPr>
            <w:tcW w:w="6663" w:type="dxa"/>
            <w:shd w:val="clear" w:color="000000" w:fill="8EA9DB"/>
            <w:noWrap/>
            <w:vAlign w:val="center"/>
          </w:tcPr>
          <w:p w14:paraId="37BA0DE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77B4835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1F05A1" w14:textId="77777777" w:rsidR="0099599B" w:rsidRDefault="0099599B">
            <w:pPr>
              <w:spacing w:after="0" w:line="240" w:lineRule="auto"/>
              <w:rPr>
                <w:rFonts w:eastAsia="Times New Roman"/>
                <w:kern w:val="0"/>
                <w:sz w:val="20"/>
                <w:szCs w:val="20"/>
                <w14:ligatures w14:val="none"/>
              </w:rPr>
            </w:pPr>
          </w:p>
        </w:tc>
      </w:tr>
      <w:tr w:rsidR="0099599B" w14:paraId="04297547" w14:textId="77777777">
        <w:trPr>
          <w:trHeight w:val="300"/>
        </w:trPr>
        <w:tc>
          <w:tcPr>
            <w:tcW w:w="6663" w:type="dxa"/>
            <w:shd w:val="clear" w:color="000000" w:fill="D9E1F2"/>
            <w:noWrap/>
            <w:vAlign w:val="center"/>
          </w:tcPr>
          <w:p w14:paraId="6D30FED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Service worker respondents mostly dependent on household farms for food</w:t>
            </w:r>
          </w:p>
        </w:tc>
        <w:tc>
          <w:tcPr>
            <w:tcW w:w="1814" w:type="dxa"/>
            <w:noWrap/>
            <w:vAlign w:val="center"/>
          </w:tcPr>
          <w:p w14:paraId="0BAD43B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Service dependent on agriculture</w:t>
            </w:r>
          </w:p>
        </w:tc>
        <w:tc>
          <w:tcPr>
            <w:tcW w:w="1041" w:type="dxa"/>
            <w:noWrap/>
            <w:vAlign w:val="center"/>
          </w:tcPr>
          <w:p w14:paraId="110B9395"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2872D815" w14:textId="77777777">
        <w:trPr>
          <w:trHeight w:val="300"/>
        </w:trPr>
        <w:tc>
          <w:tcPr>
            <w:tcW w:w="6663" w:type="dxa"/>
            <w:shd w:val="clear" w:color="000000" w:fill="D9E1F2"/>
            <w:noWrap/>
            <w:vAlign w:val="center"/>
          </w:tcPr>
          <w:p w14:paraId="4584D67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Dependent on agricultural raw products for their activity</w:t>
            </w:r>
          </w:p>
        </w:tc>
        <w:tc>
          <w:tcPr>
            <w:tcW w:w="1814" w:type="dxa"/>
            <w:noWrap/>
            <w:vAlign w:val="center"/>
          </w:tcPr>
          <w:p w14:paraId="1424A3D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CAE5EAC" w14:textId="77777777" w:rsidR="0099599B" w:rsidRDefault="0099599B">
            <w:pPr>
              <w:spacing w:after="0" w:line="240" w:lineRule="auto"/>
              <w:rPr>
                <w:rFonts w:eastAsia="Times New Roman"/>
                <w:kern w:val="0"/>
                <w:sz w:val="20"/>
                <w:szCs w:val="20"/>
                <w14:ligatures w14:val="none"/>
              </w:rPr>
            </w:pPr>
          </w:p>
        </w:tc>
      </w:tr>
      <w:tr w:rsidR="0099599B" w14:paraId="329AFFEA" w14:textId="77777777">
        <w:trPr>
          <w:trHeight w:val="300"/>
        </w:trPr>
        <w:tc>
          <w:tcPr>
            <w:tcW w:w="6663" w:type="dxa"/>
            <w:shd w:val="clear" w:color="000000" w:fill="00B0F0"/>
            <w:noWrap/>
            <w:vAlign w:val="center"/>
          </w:tcPr>
          <w:p w14:paraId="58D8712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Not aware of climate driven risks </w:t>
            </w:r>
          </w:p>
        </w:tc>
        <w:tc>
          <w:tcPr>
            <w:tcW w:w="1814" w:type="dxa"/>
            <w:noWrap/>
            <w:vAlign w:val="center"/>
          </w:tcPr>
          <w:p w14:paraId="027A932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DRR</w:t>
            </w:r>
          </w:p>
        </w:tc>
        <w:tc>
          <w:tcPr>
            <w:tcW w:w="1041" w:type="dxa"/>
            <w:noWrap/>
            <w:vAlign w:val="center"/>
          </w:tcPr>
          <w:p w14:paraId="336B3347"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37F252D5" w14:textId="77777777">
        <w:trPr>
          <w:trHeight w:val="300"/>
        </w:trPr>
        <w:tc>
          <w:tcPr>
            <w:tcW w:w="6663" w:type="dxa"/>
            <w:shd w:val="clear" w:color="000000" w:fill="00B0F0"/>
            <w:noWrap/>
            <w:vAlign w:val="center"/>
          </w:tcPr>
          <w:p w14:paraId="7F588BA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who received no warnings to extreme weather</w:t>
            </w:r>
          </w:p>
        </w:tc>
        <w:tc>
          <w:tcPr>
            <w:tcW w:w="1814" w:type="dxa"/>
            <w:noWrap/>
            <w:vAlign w:val="center"/>
          </w:tcPr>
          <w:p w14:paraId="02F3334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7022280" w14:textId="77777777" w:rsidR="0099599B" w:rsidRDefault="0099599B">
            <w:pPr>
              <w:spacing w:after="0" w:line="240" w:lineRule="auto"/>
              <w:rPr>
                <w:rFonts w:eastAsia="Times New Roman"/>
                <w:kern w:val="0"/>
                <w:sz w:val="20"/>
                <w:szCs w:val="20"/>
                <w14:ligatures w14:val="none"/>
              </w:rPr>
            </w:pPr>
          </w:p>
        </w:tc>
      </w:tr>
      <w:tr w:rsidR="0099599B" w14:paraId="099DA199" w14:textId="77777777">
        <w:trPr>
          <w:trHeight w:val="300"/>
        </w:trPr>
        <w:tc>
          <w:tcPr>
            <w:tcW w:w="6663" w:type="dxa"/>
            <w:shd w:val="clear" w:color="000000" w:fill="00B0F0"/>
            <w:noWrap/>
            <w:vAlign w:val="center"/>
          </w:tcPr>
          <w:p w14:paraId="6660870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does not recieve information of weather information for your communication devices</w:t>
            </w:r>
          </w:p>
        </w:tc>
        <w:tc>
          <w:tcPr>
            <w:tcW w:w="1814" w:type="dxa"/>
            <w:shd w:val="clear" w:color="000000" w:fill="FFC000"/>
            <w:noWrap/>
            <w:vAlign w:val="center"/>
          </w:tcPr>
          <w:p w14:paraId="2029D71D"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002E41C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14</w:t>
            </w:r>
          </w:p>
        </w:tc>
      </w:tr>
      <w:tr w:rsidR="0099599B" w14:paraId="5169FE12" w14:textId="77777777">
        <w:trPr>
          <w:trHeight w:val="300"/>
        </w:trPr>
        <w:tc>
          <w:tcPr>
            <w:tcW w:w="6663" w:type="dxa"/>
            <w:shd w:val="clear" w:color="000000" w:fill="00B0F0"/>
            <w:noWrap/>
            <w:vAlign w:val="center"/>
          </w:tcPr>
          <w:p w14:paraId="7F4D103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4A733D6C"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42083F1C"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1523BE65" w14:textId="77777777">
        <w:trPr>
          <w:trHeight w:val="300"/>
        </w:trPr>
        <w:tc>
          <w:tcPr>
            <w:tcW w:w="6663" w:type="dxa"/>
            <w:shd w:val="clear" w:color="000000" w:fill="F8CBAD"/>
            <w:noWrap/>
            <w:vAlign w:val="center"/>
          </w:tcPr>
          <w:p w14:paraId="6A44DDC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6EFC914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6A5D376A"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8</w:t>
            </w:r>
          </w:p>
        </w:tc>
      </w:tr>
      <w:tr w:rsidR="0099599B" w14:paraId="1FF0E20C" w14:textId="77777777">
        <w:trPr>
          <w:trHeight w:val="300"/>
        </w:trPr>
        <w:tc>
          <w:tcPr>
            <w:tcW w:w="6663" w:type="dxa"/>
            <w:shd w:val="clear" w:color="000000" w:fill="F8CBAD"/>
            <w:noWrap/>
            <w:vAlign w:val="center"/>
          </w:tcPr>
          <w:p w14:paraId="174BD6D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537E187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77DCB66" w14:textId="77777777" w:rsidR="0099599B" w:rsidRDefault="0099599B">
            <w:pPr>
              <w:spacing w:after="0" w:line="240" w:lineRule="auto"/>
              <w:rPr>
                <w:rFonts w:eastAsia="Times New Roman"/>
                <w:kern w:val="0"/>
                <w:sz w:val="20"/>
                <w:szCs w:val="20"/>
                <w14:ligatures w14:val="none"/>
              </w:rPr>
            </w:pPr>
          </w:p>
        </w:tc>
      </w:tr>
      <w:tr w:rsidR="0099599B" w14:paraId="53446C43" w14:textId="77777777">
        <w:trPr>
          <w:trHeight w:val="300"/>
        </w:trPr>
        <w:tc>
          <w:tcPr>
            <w:tcW w:w="6663" w:type="dxa"/>
            <w:shd w:val="clear" w:color="000000" w:fill="F8CBAD"/>
            <w:noWrap/>
            <w:vAlign w:val="center"/>
          </w:tcPr>
          <w:p w14:paraId="771C9F9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 farms in flood prone areas</w:t>
            </w:r>
          </w:p>
        </w:tc>
        <w:tc>
          <w:tcPr>
            <w:tcW w:w="1814" w:type="dxa"/>
            <w:noWrap/>
            <w:vAlign w:val="center"/>
          </w:tcPr>
          <w:p w14:paraId="2023CE7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8B42D8E" w14:textId="77777777" w:rsidR="0099599B" w:rsidRDefault="0099599B">
            <w:pPr>
              <w:spacing w:after="0" w:line="240" w:lineRule="auto"/>
              <w:rPr>
                <w:rFonts w:eastAsia="Times New Roman"/>
                <w:kern w:val="0"/>
                <w:sz w:val="20"/>
                <w:szCs w:val="20"/>
                <w14:ligatures w14:val="none"/>
              </w:rPr>
            </w:pPr>
          </w:p>
        </w:tc>
      </w:tr>
      <w:tr w:rsidR="0099599B" w14:paraId="7FDF32F2" w14:textId="77777777">
        <w:trPr>
          <w:trHeight w:val="300"/>
        </w:trPr>
        <w:tc>
          <w:tcPr>
            <w:tcW w:w="6663" w:type="dxa"/>
            <w:shd w:val="clear" w:color="000000" w:fill="F8CBAD"/>
            <w:noWrap/>
            <w:vAlign w:val="center"/>
          </w:tcPr>
          <w:p w14:paraId="02FA31B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forest pest and disease outbreak</w:t>
            </w:r>
          </w:p>
        </w:tc>
        <w:tc>
          <w:tcPr>
            <w:tcW w:w="1814" w:type="dxa"/>
            <w:noWrap/>
            <w:vAlign w:val="center"/>
          </w:tcPr>
          <w:p w14:paraId="5351F81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AA8916A" w14:textId="77777777" w:rsidR="0099599B" w:rsidRDefault="0099599B">
            <w:pPr>
              <w:spacing w:after="0" w:line="240" w:lineRule="auto"/>
              <w:rPr>
                <w:rFonts w:eastAsia="Times New Roman"/>
                <w:kern w:val="0"/>
                <w:sz w:val="20"/>
                <w:szCs w:val="20"/>
                <w14:ligatures w14:val="none"/>
              </w:rPr>
            </w:pPr>
          </w:p>
        </w:tc>
      </w:tr>
      <w:tr w:rsidR="0099599B" w14:paraId="4C995977" w14:textId="77777777">
        <w:trPr>
          <w:trHeight w:val="300"/>
        </w:trPr>
        <w:tc>
          <w:tcPr>
            <w:tcW w:w="6663" w:type="dxa"/>
            <w:shd w:val="clear" w:color="000000" w:fill="F8CBAD"/>
            <w:noWrap/>
            <w:vAlign w:val="center"/>
          </w:tcPr>
          <w:p w14:paraId="30B26AE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Number of forest fires  have occurred in this community since 10 years ago </w:t>
            </w:r>
          </w:p>
        </w:tc>
        <w:tc>
          <w:tcPr>
            <w:tcW w:w="1814" w:type="dxa"/>
            <w:noWrap/>
            <w:vAlign w:val="center"/>
          </w:tcPr>
          <w:p w14:paraId="47BBAC2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5C75F22" w14:textId="77777777" w:rsidR="0099599B" w:rsidRDefault="0099599B">
            <w:pPr>
              <w:spacing w:after="0" w:line="240" w:lineRule="auto"/>
              <w:rPr>
                <w:rFonts w:eastAsia="Times New Roman"/>
                <w:kern w:val="0"/>
                <w:sz w:val="20"/>
                <w:szCs w:val="20"/>
                <w14:ligatures w14:val="none"/>
              </w:rPr>
            </w:pPr>
          </w:p>
        </w:tc>
      </w:tr>
      <w:tr w:rsidR="0099599B" w14:paraId="29EC6C2D" w14:textId="77777777">
        <w:trPr>
          <w:trHeight w:val="300"/>
        </w:trPr>
        <w:tc>
          <w:tcPr>
            <w:tcW w:w="6663" w:type="dxa"/>
            <w:shd w:val="clear" w:color="000000" w:fill="F8CBAD"/>
            <w:noWrap/>
            <w:vAlign w:val="center"/>
          </w:tcPr>
          <w:p w14:paraId="320A1A5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48A0B1C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7D1E288" w14:textId="77777777" w:rsidR="0099599B" w:rsidRDefault="0099599B">
            <w:pPr>
              <w:spacing w:after="0" w:line="240" w:lineRule="auto"/>
              <w:rPr>
                <w:rFonts w:eastAsia="Times New Roman"/>
                <w:kern w:val="0"/>
                <w:sz w:val="20"/>
                <w:szCs w:val="20"/>
                <w14:ligatures w14:val="none"/>
              </w:rPr>
            </w:pPr>
          </w:p>
        </w:tc>
      </w:tr>
      <w:tr w:rsidR="0099599B" w14:paraId="0C368EEB" w14:textId="77777777">
        <w:trPr>
          <w:trHeight w:val="300"/>
        </w:trPr>
        <w:tc>
          <w:tcPr>
            <w:tcW w:w="6663" w:type="dxa"/>
            <w:shd w:val="clear" w:color="000000" w:fill="F8CBAD"/>
            <w:noWrap/>
            <w:vAlign w:val="center"/>
          </w:tcPr>
          <w:p w14:paraId="6DFEBBF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607E90E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288FBF3" w14:textId="77777777" w:rsidR="0099599B" w:rsidRDefault="0099599B">
            <w:pPr>
              <w:spacing w:after="0" w:line="240" w:lineRule="auto"/>
              <w:rPr>
                <w:rFonts w:eastAsia="Times New Roman"/>
                <w:kern w:val="0"/>
                <w:sz w:val="20"/>
                <w:szCs w:val="20"/>
                <w14:ligatures w14:val="none"/>
              </w:rPr>
            </w:pPr>
          </w:p>
        </w:tc>
      </w:tr>
      <w:tr w:rsidR="0099599B" w14:paraId="658A1A7E" w14:textId="77777777">
        <w:trPr>
          <w:trHeight w:val="300"/>
        </w:trPr>
        <w:tc>
          <w:tcPr>
            <w:tcW w:w="6663" w:type="dxa"/>
            <w:shd w:val="clear" w:color="000000" w:fill="F8CBAD"/>
            <w:noWrap/>
            <w:vAlign w:val="center"/>
          </w:tcPr>
          <w:p w14:paraId="241587B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69054A9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B0BFA33" w14:textId="77777777" w:rsidR="0099599B" w:rsidRDefault="0099599B">
            <w:pPr>
              <w:spacing w:after="0" w:line="240" w:lineRule="auto"/>
              <w:rPr>
                <w:rFonts w:eastAsia="Times New Roman"/>
                <w:kern w:val="0"/>
                <w:sz w:val="20"/>
                <w:szCs w:val="20"/>
                <w14:ligatures w14:val="none"/>
              </w:rPr>
            </w:pPr>
          </w:p>
        </w:tc>
      </w:tr>
      <w:tr w:rsidR="0099599B" w14:paraId="199E9AE0" w14:textId="77777777">
        <w:trPr>
          <w:trHeight w:val="300"/>
        </w:trPr>
        <w:tc>
          <w:tcPr>
            <w:tcW w:w="6663" w:type="dxa"/>
            <w:shd w:val="clear" w:color="000000" w:fill="F4B084"/>
            <w:noWrap/>
            <w:vAlign w:val="center"/>
          </w:tcPr>
          <w:p w14:paraId="7E2734C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4121A54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2CEFBCC" w14:textId="77777777" w:rsidR="0099599B" w:rsidRDefault="0099599B">
            <w:pPr>
              <w:spacing w:after="0" w:line="240" w:lineRule="auto"/>
              <w:rPr>
                <w:rFonts w:eastAsia="Times New Roman"/>
                <w:kern w:val="0"/>
                <w:sz w:val="20"/>
                <w:szCs w:val="20"/>
                <w14:ligatures w14:val="none"/>
              </w:rPr>
            </w:pPr>
          </w:p>
        </w:tc>
      </w:tr>
      <w:tr w:rsidR="0099599B" w14:paraId="7467BCCA" w14:textId="77777777">
        <w:trPr>
          <w:trHeight w:val="300"/>
        </w:trPr>
        <w:tc>
          <w:tcPr>
            <w:tcW w:w="6663" w:type="dxa"/>
            <w:shd w:val="clear" w:color="000000" w:fill="F4B084"/>
            <w:noWrap/>
            <w:vAlign w:val="center"/>
          </w:tcPr>
          <w:p w14:paraId="74A84E1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77C832C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5650CA2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73D30499" w14:textId="77777777">
        <w:trPr>
          <w:trHeight w:val="300"/>
        </w:trPr>
        <w:tc>
          <w:tcPr>
            <w:tcW w:w="6663" w:type="dxa"/>
            <w:shd w:val="clear" w:color="000000" w:fill="F4B084"/>
            <w:noWrap/>
            <w:vAlign w:val="center"/>
          </w:tcPr>
          <w:p w14:paraId="4AC278E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21A643D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286435D" w14:textId="77777777" w:rsidR="0099599B" w:rsidRDefault="0099599B">
            <w:pPr>
              <w:spacing w:after="0" w:line="240" w:lineRule="auto"/>
              <w:rPr>
                <w:rFonts w:eastAsia="Times New Roman"/>
                <w:kern w:val="0"/>
                <w:sz w:val="20"/>
                <w:szCs w:val="20"/>
                <w14:ligatures w14:val="none"/>
              </w:rPr>
            </w:pPr>
          </w:p>
        </w:tc>
      </w:tr>
      <w:tr w:rsidR="0099599B" w14:paraId="038F1F25" w14:textId="77777777">
        <w:trPr>
          <w:trHeight w:val="300"/>
        </w:trPr>
        <w:tc>
          <w:tcPr>
            <w:tcW w:w="6663" w:type="dxa"/>
            <w:shd w:val="clear" w:color="000000" w:fill="F4B084"/>
            <w:noWrap/>
            <w:vAlign w:val="center"/>
          </w:tcPr>
          <w:p w14:paraId="01645C2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0230AE7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0A20B10" w14:textId="77777777" w:rsidR="0099599B" w:rsidRDefault="0099599B">
            <w:pPr>
              <w:spacing w:after="0" w:line="240" w:lineRule="auto"/>
              <w:rPr>
                <w:rFonts w:eastAsia="Times New Roman"/>
                <w:kern w:val="0"/>
                <w:sz w:val="20"/>
                <w:szCs w:val="20"/>
                <w14:ligatures w14:val="none"/>
              </w:rPr>
            </w:pPr>
          </w:p>
        </w:tc>
      </w:tr>
      <w:tr w:rsidR="0099599B" w14:paraId="2325B52A" w14:textId="77777777">
        <w:trPr>
          <w:trHeight w:val="300"/>
        </w:trPr>
        <w:tc>
          <w:tcPr>
            <w:tcW w:w="6663" w:type="dxa"/>
            <w:shd w:val="clear" w:color="000000" w:fill="F4B084"/>
            <w:noWrap/>
            <w:vAlign w:val="center"/>
          </w:tcPr>
          <w:p w14:paraId="24AA8DB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shd w:val="clear" w:color="000000" w:fill="FFC000"/>
            <w:noWrap/>
            <w:vAlign w:val="center"/>
          </w:tcPr>
          <w:p w14:paraId="3E0BA1AD"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5F46332A"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13</w:t>
            </w:r>
          </w:p>
        </w:tc>
      </w:tr>
      <w:tr w:rsidR="0099599B" w14:paraId="03FF6980" w14:textId="77777777">
        <w:trPr>
          <w:trHeight w:val="300"/>
        </w:trPr>
        <w:tc>
          <w:tcPr>
            <w:tcW w:w="6663" w:type="dxa"/>
            <w:shd w:val="clear" w:color="000000" w:fill="F4B084"/>
            <w:noWrap/>
            <w:vAlign w:val="center"/>
          </w:tcPr>
          <w:p w14:paraId="78A3DD1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41662E46"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080A08C7"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42573B7F" w14:textId="77777777">
        <w:trPr>
          <w:trHeight w:val="300"/>
        </w:trPr>
        <w:tc>
          <w:tcPr>
            <w:tcW w:w="6663" w:type="dxa"/>
            <w:noWrap/>
            <w:vAlign w:val="center"/>
          </w:tcPr>
          <w:p w14:paraId="787F179B" w14:textId="77777777" w:rsidR="0099599B" w:rsidRDefault="0099599B">
            <w:pPr>
              <w:spacing w:after="0" w:line="240" w:lineRule="auto"/>
              <w:rPr>
                <w:rFonts w:eastAsia="Times New Roman"/>
                <w:kern w:val="0"/>
                <w:sz w:val="20"/>
                <w:szCs w:val="20"/>
                <w14:ligatures w14:val="none"/>
              </w:rPr>
            </w:pPr>
          </w:p>
        </w:tc>
        <w:tc>
          <w:tcPr>
            <w:tcW w:w="1814" w:type="dxa"/>
            <w:noWrap/>
            <w:vAlign w:val="center"/>
          </w:tcPr>
          <w:p w14:paraId="3EB999C8"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714D6CE3" w14:textId="77777777" w:rsidR="0099599B" w:rsidRDefault="0099599B">
            <w:pPr>
              <w:spacing w:after="0" w:line="240" w:lineRule="auto"/>
              <w:rPr>
                <w:rFonts w:eastAsia="Times New Roman"/>
                <w:kern w:val="0"/>
                <w:sz w:val="20"/>
                <w:szCs w:val="20"/>
                <w14:ligatures w14:val="none"/>
              </w:rPr>
            </w:pPr>
          </w:p>
        </w:tc>
      </w:tr>
      <w:tr w:rsidR="0099599B" w14:paraId="14B37B40" w14:textId="77777777">
        <w:trPr>
          <w:trHeight w:val="300"/>
        </w:trPr>
        <w:tc>
          <w:tcPr>
            <w:tcW w:w="6663" w:type="dxa"/>
            <w:noWrap/>
            <w:vAlign w:val="center"/>
          </w:tcPr>
          <w:p w14:paraId="27925ADE"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Services Sector</w:t>
            </w:r>
          </w:p>
        </w:tc>
        <w:tc>
          <w:tcPr>
            <w:tcW w:w="1814" w:type="dxa"/>
            <w:noWrap/>
            <w:vAlign w:val="center"/>
          </w:tcPr>
          <w:p w14:paraId="34B4C76C" w14:textId="77777777" w:rsidR="0099599B" w:rsidRDefault="0099599B">
            <w:pPr>
              <w:spacing w:after="0" w:line="240" w:lineRule="auto"/>
              <w:jc w:val="center"/>
              <w:rPr>
                <w:rFonts w:ascii="Calibri" w:eastAsia="Times New Roman" w:hAnsi="Calibri" w:cs="Calibri"/>
                <w:b/>
                <w:bCs/>
                <w:color w:val="000000"/>
                <w:kern w:val="0"/>
                <w:sz w:val="22"/>
                <w:szCs w:val="22"/>
                <w14:ligatures w14:val="none"/>
              </w:rPr>
            </w:pPr>
          </w:p>
        </w:tc>
        <w:tc>
          <w:tcPr>
            <w:tcW w:w="1041" w:type="dxa"/>
            <w:noWrap/>
            <w:vAlign w:val="center"/>
          </w:tcPr>
          <w:p w14:paraId="16534CBC" w14:textId="77777777" w:rsidR="0099599B" w:rsidRDefault="0099599B">
            <w:pPr>
              <w:spacing w:after="0" w:line="240" w:lineRule="auto"/>
              <w:rPr>
                <w:rFonts w:eastAsia="Times New Roman"/>
                <w:kern w:val="0"/>
                <w:sz w:val="20"/>
                <w:szCs w:val="20"/>
                <w14:ligatures w14:val="none"/>
              </w:rPr>
            </w:pPr>
          </w:p>
        </w:tc>
      </w:tr>
      <w:tr w:rsidR="0099599B" w14:paraId="7B0321C3" w14:textId="77777777">
        <w:trPr>
          <w:trHeight w:val="300"/>
        </w:trPr>
        <w:tc>
          <w:tcPr>
            <w:tcW w:w="6663" w:type="dxa"/>
            <w:shd w:val="clear" w:color="000000" w:fill="E2EFDA"/>
            <w:noWrap/>
            <w:vAlign w:val="bottom"/>
          </w:tcPr>
          <w:p w14:paraId="448C0D8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with no Education</w:t>
            </w:r>
          </w:p>
        </w:tc>
        <w:tc>
          <w:tcPr>
            <w:tcW w:w="1814" w:type="dxa"/>
            <w:noWrap/>
            <w:vAlign w:val="center"/>
          </w:tcPr>
          <w:p w14:paraId="4BEF041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B7D250D" w14:textId="77777777" w:rsidR="0099599B" w:rsidRDefault="0099599B">
            <w:pPr>
              <w:spacing w:after="0" w:line="240" w:lineRule="auto"/>
              <w:rPr>
                <w:rFonts w:eastAsia="Times New Roman"/>
                <w:kern w:val="0"/>
                <w:sz w:val="20"/>
                <w:szCs w:val="20"/>
                <w14:ligatures w14:val="none"/>
              </w:rPr>
            </w:pPr>
          </w:p>
        </w:tc>
      </w:tr>
      <w:tr w:rsidR="0099599B" w14:paraId="28ECCD41" w14:textId="77777777">
        <w:trPr>
          <w:trHeight w:val="300"/>
        </w:trPr>
        <w:tc>
          <w:tcPr>
            <w:tcW w:w="6663" w:type="dxa"/>
            <w:shd w:val="clear" w:color="000000" w:fill="E2EFDA"/>
            <w:noWrap/>
            <w:vAlign w:val="bottom"/>
          </w:tcPr>
          <w:p w14:paraId="42331E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Unemployed</w:t>
            </w:r>
          </w:p>
        </w:tc>
        <w:tc>
          <w:tcPr>
            <w:tcW w:w="1814" w:type="dxa"/>
            <w:noWrap/>
            <w:vAlign w:val="center"/>
          </w:tcPr>
          <w:p w14:paraId="3E37BD9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7B70940E"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0DD6055A" w14:textId="77777777">
        <w:trPr>
          <w:trHeight w:val="300"/>
        </w:trPr>
        <w:tc>
          <w:tcPr>
            <w:tcW w:w="6663" w:type="dxa"/>
            <w:shd w:val="clear" w:color="000000" w:fill="C6E0B4"/>
            <w:noWrap/>
            <w:vAlign w:val="bottom"/>
          </w:tcPr>
          <w:p w14:paraId="1F8B0D4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engaged in any secondary occupation</w:t>
            </w:r>
          </w:p>
        </w:tc>
        <w:tc>
          <w:tcPr>
            <w:tcW w:w="1814" w:type="dxa"/>
            <w:noWrap/>
            <w:vAlign w:val="center"/>
          </w:tcPr>
          <w:p w14:paraId="348A493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828BC8B" w14:textId="77777777" w:rsidR="0099599B" w:rsidRDefault="0099599B">
            <w:pPr>
              <w:spacing w:after="0" w:line="240" w:lineRule="auto"/>
              <w:rPr>
                <w:rFonts w:eastAsia="Times New Roman"/>
                <w:kern w:val="0"/>
                <w:sz w:val="20"/>
                <w:szCs w:val="20"/>
                <w14:ligatures w14:val="none"/>
              </w:rPr>
            </w:pPr>
          </w:p>
        </w:tc>
      </w:tr>
      <w:tr w:rsidR="0099599B" w14:paraId="57D9F43A" w14:textId="77777777">
        <w:trPr>
          <w:trHeight w:val="300"/>
        </w:trPr>
        <w:tc>
          <w:tcPr>
            <w:tcW w:w="6663" w:type="dxa"/>
            <w:shd w:val="clear" w:color="000000" w:fill="C6E0B4"/>
            <w:noWrap/>
            <w:vAlign w:val="bottom"/>
          </w:tcPr>
          <w:p w14:paraId="669813E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civil or government as only source of income</w:t>
            </w:r>
          </w:p>
        </w:tc>
        <w:tc>
          <w:tcPr>
            <w:tcW w:w="1814" w:type="dxa"/>
            <w:noWrap/>
            <w:vAlign w:val="center"/>
          </w:tcPr>
          <w:p w14:paraId="7340665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w:t>
            </w:r>
          </w:p>
        </w:tc>
        <w:tc>
          <w:tcPr>
            <w:tcW w:w="1041" w:type="dxa"/>
            <w:noWrap/>
            <w:vAlign w:val="center"/>
          </w:tcPr>
          <w:p w14:paraId="08A25D17" w14:textId="77777777" w:rsidR="0099599B" w:rsidRDefault="0099599B">
            <w:pPr>
              <w:spacing w:after="0" w:line="240" w:lineRule="auto"/>
              <w:rPr>
                <w:rFonts w:ascii="Calibri" w:eastAsia="Times New Roman" w:hAnsi="Calibri" w:cs="Calibri"/>
                <w:color w:val="000000"/>
                <w:kern w:val="0"/>
                <w:sz w:val="22"/>
                <w:szCs w:val="22"/>
                <w14:ligatures w14:val="none"/>
              </w:rPr>
            </w:pPr>
          </w:p>
        </w:tc>
      </w:tr>
      <w:tr w:rsidR="0099599B" w14:paraId="22B4902A" w14:textId="77777777">
        <w:trPr>
          <w:trHeight w:val="300"/>
        </w:trPr>
        <w:tc>
          <w:tcPr>
            <w:tcW w:w="6663" w:type="dxa"/>
            <w:shd w:val="clear" w:color="000000" w:fill="C6E0B4"/>
            <w:noWrap/>
            <w:vAlign w:val="bottom"/>
          </w:tcPr>
          <w:p w14:paraId="5F7B29B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private sector (busisness) as only source of income</w:t>
            </w:r>
          </w:p>
        </w:tc>
        <w:tc>
          <w:tcPr>
            <w:tcW w:w="1814" w:type="dxa"/>
            <w:noWrap/>
            <w:vAlign w:val="center"/>
          </w:tcPr>
          <w:p w14:paraId="12FD1B3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30ADC5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3CCB51D3" w14:textId="77777777">
        <w:trPr>
          <w:trHeight w:val="300"/>
        </w:trPr>
        <w:tc>
          <w:tcPr>
            <w:tcW w:w="6663" w:type="dxa"/>
            <w:shd w:val="clear" w:color="000000" w:fill="C6E0B4"/>
            <w:noWrap/>
            <w:vAlign w:val="bottom"/>
          </w:tcPr>
          <w:p w14:paraId="040B4D7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%Households without member working outside community</w:t>
            </w:r>
          </w:p>
        </w:tc>
        <w:tc>
          <w:tcPr>
            <w:tcW w:w="1814" w:type="dxa"/>
            <w:noWrap/>
            <w:vAlign w:val="center"/>
          </w:tcPr>
          <w:p w14:paraId="40A7762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36D2257" w14:textId="77777777" w:rsidR="0099599B" w:rsidRDefault="0099599B">
            <w:pPr>
              <w:spacing w:after="0" w:line="240" w:lineRule="auto"/>
              <w:rPr>
                <w:rFonts w:eastAsia="Times New Roman"/>
                <w:kern w:val="0"/>
                <w:sz w:val="20"/>
                <w:szCs w:val="20"/>
                <w14:ligatures w14:val="none"/>
              </w:rPr>
            </w:pPr>
          </w:p>
        </w:tc>
      </w:tr>
      <w:tr w:rsidR="0099599B" w14:paraId="2D6B7B57" w14:textId="77777777">
        <w:trPr>
          <w:trHeight w:val="300"/>
        </w:trPr>
        <w:tc>
          <w:tcPr>
            <w:tcW w:w="6663" w:type="dxa"/>
            <w:shd w:val="clear" w:color="000000" w:fill="C6E0B4"/>
            <w:noWrap/>
            <w:vAlign w:val="bottom"/>
          </w:tcPr>
          <w:p w14:paraId="5F0EECF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5AA6578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A781FDF" w14:textId="77777777" w:rsidR="0099599B" w:rsidRDefault="0099599B">
            <w:pPr>
              <w:spacing w:after="0" w:line="240" w:lineRule="auto"/>
              <w:rPr>
                <w:rFonts w:eastAsia="Times New Roman"/>
                <w:kern w:val="0"/>
                <w:sz w:val="20"/>
                <w:szCs w:val="20"/>
                <w14:ligatures w14:val="none"/>
              </w:rPr>
            </w:pPr>
          </w:p>
        </w:tc>
      </w:tr>
      <w:tr w:rsidR="0099599B" w14:paraId="7E1A6F0C" w14:textId="77777777">
        <w:trPr>
          <w:trHeight w:val="300"/>
        </w:trPr>
        <w:tc>
          <w:tcPr>
            <w:tcW w:w="6663" w:type="dxa"/>
            <w:shd w:val="clear" w:color="000000" w:fill="C6E0B4"/>
            <w:noWrap/>
            <w:vAlign w:val="bottom"/>
          </w:tcPr>
          <w:p w14:paraId="0F677D7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that have left due to climate/environmental changes in last 5 years?</w:t>
            </w:r>
          </w:p>
        </w:tc>
        <w:tc>
          <w:tcPr>
            <w:tcW w:w="1814" w:type="dxa"/>
            <w:noWrap/>
            <w:vAlign w:val="center"/>
          </w:tcPr>
          <w:p w14:paraId="1045154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54EE0FF" w14:textId="77777777" w:rsidR="0099599B" w:rsidRDefault="0099599B">
            <w:pPr>
              <w:spacing w:after="0" w:line="240" w:lineRule="auto"/>
              <w:rPr>
                <w:rFonts w:eastAsia="Times New Roman"/>
                <w:kern w:val="0"/>
                <w:sz w:val="20"/>
                <w:szCs w:val="20"/>
                <w14:ligatures w14:val="none"/>
              </w:rPr>
            </w:pPr>
          </w:p>
        </w:tc>
      </w:tr>
      <w:tr w:rsidR="0099599B" w14:paraId="63C1A654" w14:textId="77777777">
        <w:trPr>
          <w:trHeight w:val="300"/>
        </w:trPr>
        <w:tc>
          <w:tcPr>
            <w:tcW w:w="6663" w:type="dxa"/>
            <w:shd w:val="clear" w:color="000000" w:fill="A9D08E"/>
            <w:noWrap/>
            <w:vAlign w:val="bottom"/>
          </w:tcPr>
          <w:p w14:paraId="57232C7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7B6D12D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277AA01" w14:textId="77777777" w:rsidR="0099599B" w:rsidRDefault="0099599B">
            <w:pPr>
              <w:spacing w:after="0" w:line="240" w:lineRule="auto"/>
              <w:rPr>
                <w:rFonts w:eastAsia="Times New Roman"/>
                <w:kern w:val="0"/>
                <w:sz w:val="20"/>
                <w:szCs w:val="20"/>
                <w14:ligatures w14:val="none"/>
              </w:rPr>
            </w:pPr>
          </w:p>
        </w:tc>
      </w:tr>
      <w:tr w:rsidR="0099599B" w14:paraId="256DD1E3" w14:textId="77777777">
        <w:trPr>
          <w:trHeight w:val="300"/>
        </w:trPr>
        <w:tc>
          <w:tcPr>
            <w:tcW w:w="6663" w:type="dxa"/>
            <w:shd w:val="clear" w:color="000000" w:fill="A9D08E"/>
            <w:noWrap/>
            <w:vAlign w:val="bottom"/>
          </w:tcPr>
          <w:p w14:paraId="1716C6A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aware of any gender association or organisation in their community</w:t>
            </w:r>
          </w:p>
        </w:tc>
        <w:tc>
          <w:tcPr>
            <w:tcW w:w="1814" w:type="dxa"/>
            <w:noWrap/>
            <w:vAlign w:val="center"/>
          </w:tcPr>
          <w:p w14:paraId="5FD08C6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5EA61B2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w:t>
            </w:r>
          </w:p>
        </w:tc>
      </w:tr>
      <w:tr w:rsidR="0099599B" w14:paraId="0FD7E5CD" w14:textId="77777777">
        <w:trPr>
          <w:trHeight w:val="300"/>
        </w:trPr>
        <w:tc>
          <w:tcPr>
            <w:tcW w:w="6663" w:type="dxa"/>
            <w:shd w:val="clear" w:color="000000" w:fill="A9D08E"/>
            <w:noWrap/>
            <w:vAlign w:val="bottom"/>
          </w:tcPr>
          <w:p w14:paraId="0119B5F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communities without there any gender  related government social interventions (e.g.,   LEAP, s </w:t>
            </w:r>
          </w:p>
        </w:tc>
        <w:tc>
          <w:tcPr>
            <w:tcW w:w="1814" w:type="dxa"/>
            <w:noWrap/>
            <w:vAlign w:val="center"/>
          </w:tcPr>
          <w:p w14:paraId="526605D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EFBE048" w14:textId="77777777" w:rsidR="0099599B" w:rsidRDefault="0099599B">
            <w:pPr>
              <w:spacing w:after="0" w:line="240" w:lineRule="auto"/>
              <w:rPr>
                <w:rFonts w:eastAsia="Times New Roman"/>
                <w:kern w:val="0"/>
                <w:sz w:val="20"/>
                <w:szCs w:val="20"/>
                <w14:ligatures w14:val="none"/>
              </w:rPr>
            </w:pPr>
          </w:p>
        </w:tc>
      </w:tr>
      <w:tr w:rsidR="0099599B" w14:paraId="7178212C" w14:textId="77777777">
        <w:trPr>
          <w:trHeight w:val="300"/>
        </w:trPr>
        <w:tc>
          <w:tcPr>
            <w:tcW w:w="6663" w:type="dxa"/>
            <w:shd w:val="clear" w:color="000000" w:fill="A9D08E"/>
            <w:noWrap/>
            <w:vAlign w:val="bottom"/>
          </w:tcPr>
          <w:p w14:paraId="6897B36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1ECB412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68F45DD" w14:textId="77777777" w:rsidR="0099599B" w:rsidRDefault="0099599B">
            <w:pPr>
              <w:spacing w:after="0" w:line="240" w:lineRule="auto"/>
              <w:rPr>
                <w:rFonts w:eastAsia="Times New Roman"/>
                <w:kern w:val="0"/>
                <w:sz w:val="20"/>
                <w:szCs w:val="20"/>
                <w14:ligatures w14:val="none"/>
              </w:rPr>
            </w:pPr>
          </w:p>
        </w:tc>
      </w:tr>
      <w:tr w:rsidR="0099599B" w14:paraId="00F4192A" w14:textId="77777777">
        <w:trPr>
          <w:trHeight w:val="300"/>
        </w:trPr>
        <w:tc>
          <w:tcPr>
            <w:tcW w:w="6663" w:type="dxa"/>
            <w:shd w:val="clear" w:color="000000" w:fill="A9D08E"/>
            <w:noWrap/>
            <w:vAlign w:val="bottom"/>
          </w:tcPr>
          <w:p w14:paraId="289D98C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40FB1DF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CB9DA2E" w14:textId="77777777" w:rsidR="0099599B" w:rsidRDefault="0099599B">
            <w:pPr>
              <w:spacing w:after="0" w:line="240" w:lineRule="auto"/>
              <w:rPr>
                <w:rFonts w:eastAsia="Times New Roman"/>
                <w:kern w:val="0"/>
                <w:sz w:val="20"/>
                <w:szCs w:val="20"/>
                <w14:ligatures w14:val="none"/>
              </w:rPr>
            </w:pPr>
          </w:p>
        </w:tc>
      </w:tr>
      <w:tr w:rsidR="0099599B" w14:paraId="2AF1F332" w14:textId="77777777">
        <w:trPr>
          <w:trHeight w:val="300"/>
        </w:trPr>
        <w:tc>
          <w:tcPr>
            <w:tcW w:w="6663" w:type="dxa"/>
            <w:shd w:val="clear" w:color="000000" w:fill="A9D08E"/>
            <w:noWrap/>
            <w:vAlign w:val="bottom"/>
          </w:tcPr>
          <w:p w14:paraId="2F761CE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Government Organisation</w:t>
            </w:r>
          </w:p>
        </w:tc>
        <w:tc>
          <w:tcPr>
            <w:tcW w:w="1814" w:type="dxa"/>
            <w:noWrap/>
            <w:vAlign w:val="center"/>
          </w:tcPr>
          <w:p w14:paraId="613E953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8EE59A5" w14:textId="77777777" w:rsidR="0099599B" w:rsidRDefault="0099599B">
            <w:pPr>
              <w:spacing w:after="0" w:line="240" w:lineRule="auto"/>
              <w:rPr>
                <w:rFonts w:eastAsia="Times New Roman"/>
                <w:kern w:val="0"/>
                <w:sz w:val="20"/>
                <w:szCs w:val="20"/>
                <w14:ligatures w14:val="none"/>
              </w:rPr>
            </w:pPr>
          </w:p>
        </w:tc>
      </w:tr>
      <w:tr w:rsidR="0099599B" w14:paraId="5AD0C245" w14:textId="77777777">
        <w:trPr>
          <w:trHeight w:val="300"/>
        </w:trPr>
        <w:tc>
          <w:tcPr>
            <w:tcW w:w="6663" w:type="dxa"/>
            <w:shd w:val="clear" w:color="000000" w:fill="A9D08E"/>
            <w:noWrap/>
            <w:vAlign w:val="bottom"/>
          </w:tcPr>
          <w:p w14:paraId="1F0BA05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credit</w:t>
            </w:r>
          </w:p>
        </w:tc>
        <w:tc>
          <w:tcPr>
            <w:tcW w:w="1814" w:type="dxa"/>
            <w:noWrap/>
            <w:vAlign w:val="center"/>
          </w:tcPr>
          <w:p w14:paraId="1C1378B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20A93B1" w14:textId="77777777" w:rsidR="0099599B" w:rsidRDefault="0099599B">
            <w:pPr>
              <w:spacing w:after="0" w:line="240" w:lineRule="auto"/>
              <w:rPr>
                <w:rFonts w:eastAsia="Times New Roman"/>
                <w:kern w:val="0"/>
                <w:sz w:val="20"/>
                <w:szCs w:val="20"/>
                <w14:ligatures w14:val="none"/>
              </w:rPr>
            </w:pPr>
          </w:p>
        </w:tc>
      </w:tr>
      <w:tr w:rsidR="0099599B" w14:paraId="6C8FB01A" w14:textId="77777777">
        <w:trPr>
          <w:trHeight w:val="300"/>
        </w:trPr>
        <w:tc>
          <w:tcPr>
            <w:tcW w:w="6663" w:type="dxa"/>
            <w:shd w:val="clear" w:color="000000" w:fill="A9D08E"/>
            <w:noWrap/>
            <w:vAlign w:val="bottom"/>
          </w:tcPr>
          <w:p w14:paraId="15B9AA2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0EC1994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420E220" w14:textId="77777777" w:rsidR="0099599B" w:rsidRDefault="0099599B">
            <w:pPr>
              <w:spacing w:after="0" w:line="240" w:lineRule="auto"/>
              <w:rPr>
                <w:rFonts w:eastAsia="Times New Roman"/>
                <w:kern w:val="0"/>
                <w:sz w:val="20"/>
                <w:szCs w:val="20"/>
                <w14:ligatures w14:val="none"/>
              </w:rPr>
            </w:pPr>
          </w:p>
        </w:tc>
      </w:tr>
      <w:tr w:rsidR="0099599B" w14:paraId="0992731A" w14:textId="77777777">
        <w:trPr>
          <w:trHeight w:val="300"/>
        </w:trPr>
        <w:tc>
          <w:tcPr>
            <w:tcW w:w="6663" w:type="dxa"/>
            <w:shd w:val="clear" w:color="000000" w:fill="A9D08E"/>
            <w:noWrap/>
            <w:vAlign w:val="bottom"/>
          </w:tcPr>
          <w:p w14:paraId="5F63C46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shd w:val="clear" w:color="000000" w:fill="FFC000"/>
            <w:noWrap/>
            <w:vAlign w:val="center"/>
          </w:tcPr>
          <w:p w14:paraId="1172F0CD"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018C973B"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17</w:t>
            </w:r>
          </w:p>
        </w:tc>
      </w:tr>
      <w:tr w:rsidR="0099599B" w14:paraId="0F484005" w14:textId="77777777">
        <w:trPr>
          <w:trHeight w:val="300"/>
        </w:trPr>
        <w:tc>
          <w:tcPr>
            <w:tcW w:w="6663" w:type="dxa"/>
            <w:shd w:val="clear" w:color="000000" w:fill="A9D08E"/>
            <w:noWrap/>
            <w:vAlign w:val="bottom"/>
          </w:tcPr>
          <w:p w14:paraId="5256568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noWrap/>
            <w:vAlign w:val="center"/>
          </w:tcPr>
          <w:p w14:paraId="55436E1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6E2A107" w14:textId="77777777" w:rsidR="0099599B" w:rsidRDefault="0099599B">
            <w:pPr>
              <w:spacing w:after="0" w:line="240" w:lineRule="auto"/>
              <w:rPr>
                <w:rFonts w:eastAsia="Times New Roman"/>
                <w:kern w:val="0"/>
                <w:sz w:val="20"/>
                <w:szCs w:val="20"/>
                <w14:ligatures w14:val="none"/>
              </w:rPr>
            </w:pPr>
          </w:p>
        </w:tc>
      </w:tr>
      <w:tr w:rsidR="0099599B" w14:paraId="4F1CC98A" w14:textId="77777777">
        <w:trPr>
          <w:trHeight w:val="300"/>
        </w:trPr>
        <w:tc>
          <w:tcPr>
            <w:tcW w:w="6663" w:type="dxa"/>
            <w:shd w:val="clear" w:color="000000" w:fill="4472C4"/>
            <w:noWrap/>
            <w:vAlign w:val="center"/>
          </w:tcPr>
          <w:p w14:paraId="61CCB55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Service worker respondents mostly dependent on household farms for food</w:t>
            </w:r>
          </w:p>
        </w:tc>
        <w:tc>
          <w:tcPr>
            <w:tcW w:w="1814" w:type="dxa"/>
            <w:noWrap/>
            <w:vAlign w:val="center"/>
          </w:tcPr>
          <w:p w14:paraId="0554B26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Service sector workers</w:t>
            </w:r>
          </w:p>
        </w:tc>
        <w:tc>
          <w:tcPr>
            <w:tcW w:w="1041" w:type="dxa"/>
            <w:noWrap/>
            <w:vAlign w:val="center"/>
          </w:tcPr>
          <w:p w14:paraId="1D4DDCD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w:t>
            </w:r>
          </w:p>
        </w:tc>
      </w:tr>
      <w:tr w:rsidR="0099599B" w14:paraId="1E36447C" w14:textId="77777777">
        <w:trPr>
          <w:trHeight w:val="300"/>
        </w:trPr>
        <w:tc>
          <w:tcPr>
            <w:tcW w:w="6663" w:type="dxa"/>
            <w:shd w:val="clear" w:color="000000" w:fill="4472C4"/>
            <w:noWrap/>
            <w:vAlign w:val="center"/>
          </w:tcPr>
          <w:p w14:paraId="1E6C92E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businesses without insurance</w:t>
            </w:r>
          </w:p>
        </w:tc>
        <w:tc>
          <w:tcPr>
            <w:tcW w:w="1814" w:type="dxa"/>
            <w:noWrap/>
            <w:vAlign w:val="center"/>
          </w:tcPr>
          <w:p w14:paraId="464C13E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FA4BEBD" w14:textId="77777777" w:rsidR="0099599B" w:rsidRDefault="0099599B">
            <w:pPr>
              <w:spacing w:after="0" w:line="240" w:lineRule="auto"/>
              <w:rPr>
                <w:rFonts w:eastAsia="Times New Roman"/>
                <w:kern w:val="0"/>
                <w:sz w:val="20"/>
                <w:szCs w:val="20"/>
                <w14:ligatures w14:val="none"/>
              </w:rPr>
            </w:pPr>
          </w:p>
        </w:tc>
      </w:tr>
      <w:tr w:rsidR="0099599B" w14:paraId="62FB41F5" w14:textId="77777777">
        <w:trPr>
          <w:trHeight w:val="300"/>
        </w:trPr>
        <w:tc>
          <w:tcPr>
            <w:tcW w:w="6663" w:type="dxa"/>
            <w:shd w:val="clear" w:color="000000" w:fill="4472C4"/>
            <w:noWrap/>
            <w:vAlign w:val="center"/>
          </w:tcPr>
          <w:p w14:paraId="22EE0B3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Dependent on agricultural raw products for their activity</w:t>
            </w:r>
          </w:p>
        </w:tc>
        <w:tc>
          <w:tcPr>
            <w:tcW w:w="1814" w:type="dxa"/>
            <w:noWrap/>
            <w:vAlign w:val="center"/>
          </w:tcPr>
          <w:p w14:paraId="2130D90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A01D2A7" w14:textId="77777777" w:rsidR="0099599B" w:rsidRDefault="0099599B">
            <w:pPr>
              <w:spacing w:after="0" w:line="240" w:lineRule="auto"/>
              <w:rPr>
                <w:rFonts w:eastAsia="Times New Roman"/>
                <w:kern w:val="0"/>
                <w:sz w:val="20"/>
                <w:szCs w:val="20"/>
                <w14:ligatures w14:val="none"/>
              </w:rPr>
            </w:pPr>
          </w:p>
        </w:tc>
      </w:tr>
      <w:tr w:rsidR="0099599B" w14:paraId="5963A353" w14:textId="77777777">
        <w:trPr>
          <w:trHeight w:val="300"/>
        </w:trPr>
        <w:tc>
          <w:tcPr>
            <w:tcW w:w="6663" w:type="dxa"/>
            <w:shd w:val="clear" w:color="000000" w:fill="4472C4"/>
            <w:noWrap/>
            <w:vAlign w:val="center"/>
          </w:tcPr>
          <w:p w14:paraId="5C1E466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Business persons not aware government support for their business</w:t>
            </w:r>
          </w:p>
        </w:tc>
        <w:tc>
          <w:tcPr>
            <w:tcW w:w="1814" w:type="dxa"/>
            <w:noWrap/>
            <w:vAlign w:val="center"/>
          </w:tcPr>
          <w:p w14:paraId="10805EB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7BEAF9B" w14:textId="77777777" w:rsidR="0099599B" w:rsidRDefault="0099599B">
            <w:pPr>
              <w:spacing w:after="0" w:line="240" w:lineRule="auto"/>
              <w:rPr>
                <w:rFonts w:eastAsia="Times New Roman"/>
                <w:kern w:val="0"/>
                <w:sz w:val="20"/>
                <w:szCs w:val="20"/>
                <w14:ligatures w14:val="none"/>
              </w:rPr>
            </w:pPr>
          </w:p>
        </w:tc>
      </w:tr>
      <w:tr w:rsidR="0099599B" w14:paraId="68A526E6" w14:textId="77777777">
        <w:trPr>
          <w:trHeight w:val="300"/>
        </w:trPr>
        <w:tc>
          <w:tcPr>
            <w:tcW w:w="6663" w:type="dxa"/>
            <w:shd w:val="clear" w:color="000000" w:fill="5B9BD5"/>
            <w:noWrap/>
            <w:vAlign w:val="center"/>
          </w:tcPr>
          <w:p w14:paraId="5E7D951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 health facility in their communities</w:t>
            </w:r>
          </w:p>
        </w:tc>
        <w:tc>
          <w:tcPr>
            <w:tcW w:w="1814" w:type="dxa"/>
            <w:noWrap/>
            <w:vAlign w:val="center"/>
          </w:tcPr>
          <w:p w14:paraId="12CCBF4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Health services </w:t>
            </w:r>
          </w:p>
        </w:tc>
        <w:tc>
          <w:tcPr>
            <w:tcW w:w="1041" w:type="dxa"/>
            <w:noWrap/>
            <w:vAlign w:val="center"/>
          </w:tcPr>
          <w:p w14:paraId="53D3350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16732BB6" w14:textId="77777777">
        <w:trPr>
          <w:trHeight w:val="300"/>
        </w:trPr>
        <w:tc>
          <w:tcPr>
            <w:tcW w:w="6663" w:type="dxa"/>
            <w:shd w:val="clear" w:color="000000" w:fill="5B9BD5"/>
            <w:noWrap/>
            <w:vAlign w:val="center"/>
          </w:tcPr>
          <w:p w14:paraId="22D246F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Minutes of travel to the nearest health facilities</w:t>
            </w:r>
          </w:p>
        </w:tc>
        <w:tc>
          <w:tcPr>
            <w:tcW w:w="1814" w:type="dxa"/>
            <w:noWrap/>
            <w:vAlign w:val="center"/>
          </w:tcPr>
          <w:p w14:paraId="77F8F31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4922A72" w14:textId="77777777" w:rsidR="0099599B" w:rsidRDefault="0099599B">
            <w:pPr>
              <w:spacing w:after="0" w:line="240" w:lineRule="auto"/>
              <w:rPr>
                <w:rFonts w:eastAsia="Times New Roman"/>
                <w:kern w:val="0"/>
                <w:sz w:val="20"/>
                <w:szCs w:val="20"/>
                <w14:ligatures w14:val="none"/>
              </w:rPr>
            </w:pPr>
          </w:p>
        </w:tc>
      </w:tr>
      <w:tr w:rsidR="0099599B" w14:paraId="43526A75" w14:textId="77777777">
        <w:trPr>
          <w:trHeight w:val="300"/>
        </w:trPr>
        <w:tc>
          <w:tcPr>
            <w:tcW w:w="6663" w:type="dxa"/>
            <w:shd w:val="clear" w:color="000000" w:fill="5B9BD5"/>
            <w:noWrap/>
            <w:vAlign w:val="center"/>
          </w:tcPr>
          <w:p w14:paraId="5B60A5D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health facilities in the community</w:t>
            </w:r>
          </w:p>
        </w:tc>
        <w:tc>
          <w:tcPr>
            <w:tcW w:w="1814" w:type="dxa"/>
            <w:noWrap/>
            <w:vAlign w:val="center"/>
          </w:tcPr>
          <w:p w14:paraId="25C79A0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56BCADD" w14:textId="77777777" w:rsidR="0099599B" w:rsidRDefault="0099599B">
            <w:pPr>
              <w:spacing w:after="0" w:line="240" w:lineRule="auto"/>
              <w:rPr>
                <w:rFonts w:eastAsia="Times New Roman"/>
                <w:kern w:val="0"/>
                <w:sz w:val="20"/>
                <w:szCs w:val="20"/>
                <w14:ligatures w14:val="none"/>
              </w:rPr>
            </w:pPr>
          </w:p>
        </w:tc>
      </w:tr>
      <w:tr w:rsidR="0099599B" w14:paraId="35167978" w14:textId="77777777">
        <w:trPr>
          <w:trHeight w:val="300"/>
        </w:trPr>
        <w:tc>
          <w:tcPr>
            <w:tcW w:w="6663" w:type="dxa"/>
            <w:shd w:val="clear" w:color="000000" w:fill="5B9BD5"/>
            <w:noWrap/>
            <w:vAlign w:val="center"/>
          </w:tcPr>
          <w:p w14:paraId="4BCAF32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the NHIS</w:t>
            </w:r>
          </w:p>
        </w:tc>
        <w:tc>
          <w:tcPr>
            <w:tcW w:w="1814" w:type="dxa"/>
            <w:noWrap/>
            <w:vAlign w:val="center"/>
          </w:tcPr>
          <w:p w14:paraId="43DFFC0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2D4B453" w14:textId="77777777" w:rsidR="0099599B" w:rsidRDefault="0099599B">
            <w:pPr>
              <w:spacing w:after="0" w:line="240" w:lineRule="auto"/>
              <w:rPr>
                <w:rFonts w:eastAsia="Times New Roman"/>
                <w:kern w:val="0"/>
                <w:sz w:val="20"/>
                <w:szCs w:val="20"/>
                <w14:ligatures w14:val="none"/>
              </w:rPr>
            </w:pPr>
          </w:p>
        </w:tc>
      </w:tr>
      <w:tr w:rsidR="0099599B" w14:paraId="3E9CCBD5" w14:textId="77777777">
        <w:trPr>
          <w:trHeight w:val="300"/>
        </w:trPr>
        <w:tc>
          <w:tcPr>
            <w:tcW w:w="6663" w:type="dxa"/>
            <w:shd w:val="clear" w:color="000000" w:fill="5B9BD5"/>
            <w:noWrap/>
            <w:vAlign w:val="center"/>
          </w:tcPr>
          <w:p w14:paraId="3A3EB59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where a member missed work/school due to illness</w:t>
            </w:r>
          </w:p>
        </w:tc>
        <w:tc>
          <w:tcPr>
            <w:tcW w:w="1814" w:type="dxa"/>
            <w:noWrap/>
            <w:vAlign w:val="center"/>
          </w:tcPr>
          <w:p w14:paraId="12C9D0F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61EBB8" w14:textId="77777777" w:rsidR="0099599B" w:rsidRDefault="0099599B">
            <w:pPr>
              <w:spacing w:after="0" w:line="240" w:lineRule="auto"/>
              <w:rPr>
                <w:rFonts w:eastAsia="Times New Roman"/>
                <w:kern w:val="0"/>
                <w:sz w:val="20"/>
                <w:szCs w:val="20"/>
                <w14:ligatures w14:val="none"/>
              </w:rPr>
            </w:pPr>
          </w:p>
        </w:tc>
      </w:tr>
      <w:tr w:rsidR="0099599B" w14:paraId="16EBB050" w14:textId="77777777">
        <w:trPr>
          <w:trHeight w:val="300"/>
        </w:trPr>
        <w:tc>
          <w:tcPr>
            <w:tcW w:w="6663" w:type="dxa"/>
            <w:shd w:val="clear" w:color="000000" w:fill="ACB9CA"/>
            <w:noWrap/>
            <w:vAlign w:val="center"/>
          </w:tcPr>
          <w:p w14:paraId="204489F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safe sanitation services</w:t>
            </w:r>
          </w:p>
        </w:tc>
        <w:tc>
          <w:tcPr>
            <w:tcW w:w="1814" w:type="dxa"/>
            <w:noWrap/>
            <w:vAlign w:val="center"/>
          </w:tcPr>
          <w:p w14:paraId="006E801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Sanitation</w:t>
            </w:r>
          </w:p>
        </w:tc>
        <w:tc>
          <w:tcPr>
            <w:tcW w:w="1041" w:type="dxa"/>
            <w:noWrap/>
            <w:vAlign w:val="center"/>
          </w:tcPr>
          <w:p w14:paraId="2A338E6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0659B817" w14:textId="77777777">
        <w:trPr>
          <w:trHeight w:val="300"/>
        </w:trPr>
        <w:tc>
          <w:tcPr>
            <w:tcW w:w="6663" w:type="dxa"/>
            <w:shd w:val="clear" w:color="000000" w:fill="ACB9CA"/>
            <w:noWrap/>
            <w:vAlign w:val="center"/>
          </w:tcPr>
          <w:p w14:paraId="6AD79B5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public toilet facilitites in the community</w:t>
            </w:r>
          </w:p>
        </w:tc>
        <w:tc>
          <w:tcPr>
            <w:tcW w:w="1814" w:type="dxa"/>
            <w:noWrap/>
            <w:vAlign w:val="center"/>
          </w:tcPr>
          <w:p w14:paraId="6C6ED8C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37FBBEF" w14:textId="77777777" w:rsidR="0099599B" w:rsidRDefault="0099599B">
            <w:pPr>
              <w:spacing w:after="0" w:line="240" w:lineRule="auto"/>
              <w:rPr>
                <w:rFonts w:eastAsia="Times New Roman"/>
                <w:kern w:val="0"/>
                <w:sz w:val="20"/>
                <w:szCs w:val="20"/>
                <w14:ligatures w14:val="none"/>
              </w:rPr>
            </w:pPr>
          </w:p>
        </w:tc>
      </w:tr>
      <w:tr w:rsidR="0099599B" w14:paraId="5CF00880" w14:textId="77777777">
        <w:trPr>
          <w:trHeight w:val="300"/>
        </w:trPr>
        <w:tc>
          <w:tcPr>
            <w:tcW w:w="6663" w:type="dxa"/>
            <w:shd w:val="clear" w:color="000000" w:fill="ACB9CA"/>
            <w:noWrap/>
            <w:vAlign w:val="center"/>
          </w:tcPr>
          <w:p w14:paraId="3AF7EC0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training/sensitization on climate related diseases</w:t>
            </w:r>
          </w:p>
        </w:tc>
        <w:tc>
          <w:tcPr>
            <w:tcW w:w="1814" w:type="dxa"/>
            <w:noWrap/>
            <w:vAlign w:val="center"/>
          </w:tcPr>
          <w:p w14:paraId="542584D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E65A822" w14:textId="77777777" w:rsidR="0099599B" w:rsidRDefault="0099599B">
            <w:pPr>
              <w:spacing w:after="0" w:line="240" w:lineRule="auto"/>
              <w:rPr>
                <w:rFonts w:eastAsia="Times New Roman"/>
                <w:kern w:val="0"/>
                <w:sz w:val="20"/>
                <w:szCs w:val="20"/>
                <w14:ligatures w14:val="none"/>
              </w:rPr>
            </w:pPr>
          </w:p>
        </w:tc>
      </w:tr>
      <w:tr w:rsidR="0099599B" w14:paraId="7689F72D" w14:textId="77777777">
        <w:trPr>
          <w:trHeight w:val="300"/>
        </w:trPr>
        <w:tc>
          <w:tcPr>
            <w:tcW w:w="6663" w:type="dxa"/>
            <w:shd w:val="clear" w:color="000000" w:fill="B4C6E7"/>
            <w:noWrap/>
            <w:vAlign w:val="center"/>
          </w:tcPr>
          <w:p w14:paraId="7F8302C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 dealing with persistent water source unavailability</w:t>
            </w:r>
          </w:p>
        </w:tc>
        <w:tc>
          <w:tcPr>
            <w:tcW w:w="1814" w:type="dxa"/>
            <w:noWrap/>
            <w:vAlign w:val="center"/>
          </w:tcPr>
          <w:p w14:paraId="600E2B7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AA63D4A" w14:textId="77777777" w:rsidR="0099599B" w:rsidRDefault="0099599B">
            <w:pPr>
              <w:spacing w:after="0" w:line="240" w:lineRule="auto"/>
              <w:rPr>
                <w:rFonts w:eastAsia="Times New Roman"/>
                <w:kern w:val="0"/>
                <w:sz w:val="20"/>
                <w:szCs w:val="20"/>
                <w14:ligatures w14:val="none"/>
              </w:rPr>
            </w:pPr>
          </w:p>
        </w:tc>
      </w:tr>
      <w:tr w:rsidR="0099599B" w14:paraId="61AF5284" w14:textId="77777777">
        <w:trPr>
          <w:trHeight w:val="300"/>
        </w:trPr>
        <w:tc>
          <w:tcPr>
            <w:tcW w:w="6663" w:type="dxa"/>
            <w:shd w:val="clear" w:color="000000" w:fill="B4C6E7"/>
            <w:noWrap/>
            <w:vAlign w:val="center"/>
          </w:tcPr>
          <w:p w14:paraId="25DC7B8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potable water</w:t>
            </w:r>
          </w:p>
        </w:tc>
        <w:tc>
          <w:tcPr>
            <w:tcW w:w="1814" w:type="dxa"/>
            <w:noWrap/>
            <w:vAlign w:val="center"/>
          </w:tcPr>
          <w:p w14:paraId="167AA49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Water servicces</w:t>
            </w:r>
          </w:p>
        </w:tc>
        <w:tc>
          <w:tcPr>
            <w:tcW w:w="1041" w:type="dxa"/>
            <w:noWrap/>
            <w:vAlign w:val="center"/>
          </w:tcPr>
          <w:p w14:paraId="7A09B69B"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78014954" w14:textId="77777777">
        <w:trPr>
          <w:trHeight w:val="300"/>
        </w:trPr>
        <w:tc>
          <w:tcPr>
            <w:tcW w:w="6663" w:type="dxa"/>
            <w:shd w:val="clear" w:color="000000" w:fill="B4C6E7"/>
            <w:noWrap/>
            <w:vAlign w:val="center"/>
          </w:tcPr>
          <w:p w14:paraId="1DFD75A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cost of water per month</w:t>
            </w:r>
          </w:p>
        </w:tc>
        <w:tc>
          <w:tcPr>
            <w:tcW w:w="1814" w:type="dxa"/>
            <w:noWrap/>
            <w:vAlign w:val="center"/>
          </w:tcPr>
          <w:p w14:paraId="1F988B5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A26A7D4" w14:textId="77777777" w:rsidR="0099599B" w:rsidRDefault="0099599B">
            <w:pPr>
              <w:spacing w:after="0" w:line="240" w:lineRule="auto"/>
              <w:rPr>
                <w:rFonts w:eastAsia="Times New Roman"/>
                <w:kern w:val="0"/>
                <w:sz w:val="20"/>
                <w:szCs w:val="20"/>
                <w14:ligatures w14:val="none"/>
              </w:rPr>
            </w:pPr>
          </w:p>
        </w:tc>
      </w:tr>
      <w:tr w:rsidR="0099599B" w14:paraId="0ED93DCD" w14:textId="77777777">
        <w:trPr>
          <w:trHeight w:val="300"/>
        </w:trPr>
        <w:tc>
          <w:tcPr>
            <w:tcW w:w="6663" w:type="dxa"/>
            <w:shd w:val="clear" w:color="000000" w:fill="B4C6E7"/>
            <w:noWrap/>
            <w:vAlign w:val="center"/>
          </w:tcPr>
          <w:p w14:paraId="6467092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without water source being available everyday</w:t>
            </w:r>
          </w:p>
        </w:tc>
        <w:tc>
          <w:tcPr>
            <w:tcW w:w="1814" w:type="dxa"/>
            <w:noWrap/>
            <w:vAlign w:val="center"/>
          </w:tcPr>
          <w:p w14:paraId="5FD653A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C547354" w14:textId="77777777" w:rsidR="0099599B" w:rsidRDefault="0099599B">
            <w:pPr>
              <w:spacing w:after="0" w:line="240" w:lineRule="auto"/>
              <w:rPr>
                <w:rFonts w:eastAsia="Times New Roman"/>
                <w:kern w:val="0"/>
                <w:sz w:val="20"/>
                <w:szCs w:val="20"/>
                <w14:ligatures w14:val="none"/>
              </w:rPr>
            </w:pPr>
          </w:p>
        </w:tc>
      </w:tr>
      <w:tr w:rsidR="0099599B" w14:paraId="7FD876DF" w14:textId="77777777">
        <w:trPr>
          <w:trHeight w:val="300"/>
        </w:trPr>
        <w:tc>
          <w:tcPr>
            <w:tcW w:w="6663" w:type="dxa"/>
            <w:shd w:val="clear" w:color="000000" w:fill="B4C6E7"/>
            <w:noWrap/>
            <w:vAlign w:val="center"/>
          </w:tcPr>
          <w:p w14:paraId="3F24A49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minutes to get to a water source not inside the household</w:t>
            </w:r>
          </w:p>
        </w:tc>
        <w:tc>
          <w:tcPr>
            <w:tcW w:w="1814" w:type="dxa"/>
            <w:noWrap/>
            <w:vAlign w:val="center"/>
          </w:tcPr>
          <w:p w14:paraId="7BCBC4E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34E59D1" w14:textId="77777777" w:rsidR="0099599B" w:rsidRDefault="0099599B">
            <w:pPr>
              <w:spacing w:after="0" w:line="240" w:lineRule="auto"/>
              <w:rPr>
                <w:rFonts w:eastAsia="Times New Roman"/>
                <w:kern w:val="0"/>
                <w:sz w:val="20"/>
                <w:szCs w:val="20"/>
                <w14:ligatures w14:val="none"/>
              </w:rPr>
            </w:pPr>
          </w:p>
        </w:tc>
      </w:tr>
      <w:tr w:rsidR="0099599B" w14:paraId="680211C9" w14:textId="77777777">
        <w:trPr>
          <w:trHeight w:val="300"/>
        </w:trPr>
        <w:tc>
          <w:tcPr>
            <w:tcW w:w="6663" w:type="dxa"/>
            <w:shd w:val="clear" w:color="000000" w:fill="B4C6E7"/>
            <w:noWrap/>
            <w:vAlign w:val="center"/>
          </w:tcPr>
          <w:p w14:paraId="2E5541F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Conflicts about water sources in the community</w:t>
            </w:r>
          </w:p>
        </w:tc>
        <w:tc>
          <w:tcPr>
            <w:tcW w:w="1814" w:type="dxa"/>
            <w:noWrap/>
            <w:vAlign w:val="center"/>
          </w:tcPr>
          <w:p w14:paraId="17CFC15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8394468" w14:textId="77777777" w:rsidR="0099599B" w:rsidRDefault="0099599B">
            <w:pPr>
              <w:spacing w:after="0" w:line="240" w:lineRule="auto"/>
              <w:rPr>
                <w:rFonts w:eastAsia="Times New Roman"/>
                <w:kern w:val="0"/>
                <w:sz w:val="20"/>
                <w:szCs w:val="20"/>
                <w14:ligatures w14:val="none"/>
              </w:rPr>
            </w:pPr>
          </w:p>
        </w:tc>
      </w:tr>
      <w:tr w:rsidR="0099599B" w14:paraId="684022AF" w14:textId="77777777">
        <w:trPr>
          <w:trHeight w:val="300"/>
        </w:trPr>
        <w:tc>
          <w:tcPr>
            <w:tcW w:w="6663" w:type="dxa"/>
            <w:shd w:val="clear" w:color="000000" w:fill="9BC2E6"/>
            <w:noWrap/>
            <w:vAlign w:val="center"/>
          </w:tcPr>
          <w:p w14:paraId="32713B3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coastsl storm warnings</w:t>
            </w:r>
          </w:p>
        </w:tc>
        <w:tc>
          <w:tcPr>
            <w:tcW w:w="1814" w:type="dxa"/>
            <w:noWrap/>
            <w:vAlign w:val="center"/>
          </w:tcPr>
          <w:p w14:paraId="3CF975B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49269572"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225D8F69" w14:textId="77777777">
        <w:trPr>
          <w:trHeight w:val="300"/>
        </w:trPr>
        <w:tc>
          <w:tcPr>
            <w:tcW w:w="6663" w:type="dxa"/>
            <w:shd w:val="clear" w:color="000000" w:fill="9BC2E6"/>
            <w:noWrap/>
            <w:vAlign w:val="center"/>
          </w:tcPr>
          <w:p w14:paraId="7F7F7F7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 km or less from shoreline</w:t>
            </w:r>
          </w:p>
        </w:tc>
        <w:tc>
          <w:tcPr>
            <w:tcW w:w="1814" w:type="dxa"/>
            <w:noWrap/>
            <w:vAlign w:val="center"/>
          </w:tcPr>
          <w:p w14:paraId="594A0E0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90866D4" w14:textId="77777777" w:rsidR="0099599B" w:rsidRDefault="0099599B">
            <w:pPr>
              <w:spacing w:after="0" w:line="240" w:lineRule="auto"/>
              <w:rPr>
                <w:rFonts w:eastAsia="Times New Roman"/>
                <w:kern w:val="0"/>
                <w:sz w:val="20"/>
                <w:szCs w:val="20"/>
                <w14:ligatures w14:val="none"/>
              </w:rPr>
            </w:pPr>
          </w:p>
        </w:tc>
      </w:tr>
      <w:tr w:rsidR="0099599B" w14:paraId="434FEA8D" w14:textId="77777777">
        <w:trPr>
          <w:trHeight w:val="300"/>
        </w:trPr>
        <w:tc>
          <w:tcPr>
            <w:tcW w:w="6663" w:type="dxa"/>
            <w:shd w:val="clear" w:color="000000" w:fill="9BC2E6"/>
            <w:noWrap/>
            <w:vAlign w:val="center"/>
          </w:tcPr>
          <w:p w14:paraId="7A53720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6E4B64C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D669430" w14:textId="77777777" w:rsidR="0099599B" w:rsidRDefault="0099599B">
            <w:pPr>
              <w:spacing w:after="0" w:line="240" w:lineRule="auto"/>
              <w:rPr>
                <w:rFonts w:eastAsia="Times New Roman"/>
                <w:kern w:val="0"/>
                <w:sz w:val="20"/>
                <w:szCs w:val="20"/>
                <w14:ligatures w14:val="none"/>
              </w:rPr>
            </w:pPr>
          </w:p>
        </w:tc>
      </w:tr>
      <w:tr w:rsidR="0099599B" w14:paraId="51F732EC" w14:textId="77777777">
        <w:trPr>
          <w:trHeight w:val="300"/>
        </w:trPr>
        <w:tc>
          <w:tcPr>
            <w:tcW w:w="6663" w:type="dxa"/>
            <w:shd w:val="clear" w:color="000000" w:fill="BDD7EE"/>
            <w:noWrap/>
            <w:vAlign w:val="center"/>
          </w:tcPr>
          <w:p w14:paraId="6BE5F96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whose houses or infrastructure been damanged by flood, erosion or strong winds in the past 5 years</w:t>
            </w:r>
          </w:p>
        </w:tc>
        <w:tc>
          <w:tcPr>
            <w:tcW w:w="1814" w:type="dxa"/>
            <w:noWrap/>
            <w:vAlign w:val="center"/>
          </w:tcPr>
          <w:p w14:paraId="709D46D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CB2C9DE" w14:textId="77777777" w:rsidR="0099599B" w:rsidRDefault="0099599B">
            <w:pPr>
              <w:spacing w:after="0" w:line="240" w:lineRule="auto"/>
              <w:rPr>
                <w:rFonts w:eastAsia="Times New Roman"/>
                <w:kern w:val="0"/>
                <w:sz w:val="20"/>
                <w:szCs w:val="20"/>
                <w14:ligatures w14:val="none"/>
              </w:rPr>
            </w:pPr>
          </w:p>
        </w:tc>
      </w:tr>
      <w:tr w:rsidR="0099599B" w14:paraId="35ECE0C3" w14:textId="77777777">
        <w:trPr>
          <w:trHeight w:val="300"/>
        </w:trPr>
        <w:tc>
          <w:tcPr>
            <w:tcW w:w="6663" w:type="dxa"/>
            <w:shd w:val="clear" w:color="000000" w:fill="BDD7EE"/>
            <w:noWrap/>
            <w:vAlign w:val="center"/>
          </w:tcPr>
          <w:p w14:paraId="1369697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road block or unusable roads during rains</w:t>
            </w:r>
          </w:p>
        </w:tc>
        <w:tc>
          <w:tcPr>
            <w:tcW w:w="1814" w:type="dxa"/>
            <w:noWrap/>
            <w:vAlign w:val="center"/>
          </w:tcPr>
          <w:p w14:paraId="4DFEE87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Infrastructure for service use</w:t>
            </w:r>
          </w:p>
        </w:tc>
        <w:tc>
          <w:tcPr>
            <w:tcW w:w="1041" w:type="dxa"/>
            <w:noWrap/>
            <w:vAlign w:val="center"/>
          </w:tcPr>
          <w:p w14:paraId="472A1ED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149F7865" w14:textId="77777777">
        <w:trPr>
          <w:trHeight w:val="300"/>
        </w:trPr>
        <w:tc>
          <w:tcPr>
            <w:tcW w:w="6663" w:type="dxa"/>
            <w:shd w:val="clear" w:color="000000" w:fill="BDD7EE"/>
            <w:noWrap/>
            <w:vAlign w:val="center"/>
          </w:tcPr>
          <w:p w14:paraId="5B77727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disaster resilient infrastructure</w:t>
            </w:r>
          </w:p>
        </w:tc>
        <w:tc>
          <w:tcPr>
            <w:tcW w:w="1814" w:type="dxa"/>
            <w:noWrap/>
            <w:vAlign w:val="center"/>
          </w:tcPr>
          <w:p w14:paraId="106EAF4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146CFD3" w14:textId="77777777" w:rsidR="0099599B" w:rsidRDefault="0099599B">
            <w:pPr>
              <w:spacing w:after="0" w:line="240" w:lineRule="auto"/>
              <w:rPr>
                <w:rFonts w:eastAsia="Times New Roman"/>
                <w:kern w:val="0"/>
                <w:sz w:val="20"/>
                <w:szCs w:val="20"/>
                <w14:ligatures w14:val="none"/>
              </w:rPr>
            </w:pPr>
          </w:p>
        </w:tc>
      </w:tr>
      <w:tr w:rsidR="0099599B" w14:paraId="2A2B2F10" w14:textId="77777777">
        <w:trPr>
          <w:trHeight w:val="300"/>
        </w:trPr>
        <w:tc>
          <w:tcPr>
            <w:tcW w:w="6663" w:type="dxa"/>
            <w:shd w:val="clear" w:color="000000" w:fill="BDD7EE"/>
            <w:noWrap/>
            <w:vAlign w:val="center"/>
          </w:tcPr>
          <w:p w14:paraId="44DA6AA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ready market</w:t>
            </w:r>
          </w:p>
        </w:tc>
        <w:tc>
          <w:tcPr>
            <w:tcW w:w="1814" w:type="dxa"/>
            <w:noWrap/>
            <w:vAlign w:val="center"/>
          </w:tcPr>
          <w:p w14:paraId="0A3A2AE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48B96F5" w14:textId="77777777" w:rsidR="0099599B" w:rsidRDefault="0099599B">
            <w:pPr>
              <w:spacing w:after="0" w:line="240" w:lineRule="auto"/>
              <w:rPr>
                <w:rFonts w:eastAsia="Times New Roman"/>
                <w:kern w:val="0"/>
                <w:sz w:val="20"/>
                <w:szCs w:val="20"/>
                <w14:ligatures w14:val="none"/>
              </w:rPr>
            </w:pPr>
          </w:p>
        </w:tc>
      </w:tr>
      <w:tr w:rsidR="0099599B" w14:paraId="0CEA65EA" w14:textId="77777777">
        <w:trPr>
          <w:trHeight w:val="300"/>
        </w:trPr>
        <w:tc>
          <w:tcPr>
            <w:tcW w:w="6663" w:type="dxa"/>
            <w:shd w:val="clear" w:color="000000" w:fill="BDD7EE"/>
            <w:noWrap/>
            <w:vAlign w:val="center"/>
          </w:tcPr>
          <w:p w14:paraId="55B94E9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without  access to good road network</w:t>
            </w:r>
          </w:p>
        </w:tc>
        <w:tc>
          <w:tcPr>
            <w:tcW w:w="1814" w:type="dxa"/>
            <w:noWrap/>
            <w:vAlign w:val="center"/>
          </w:tcPr>
          <w:p w14:paraId="4109695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11A66E7" w14:textId="77777777" w:rsidR="0099599B" w:rsidRDefault="0099599B">
            <w:pPr>
              <w:spacing w:after="0" w:line="240" w:lineRule="auto"/>
              <w:rPr>
                <w:rFonts w:eastAsia="Times New Roman"/>
                <w:kern w:val="0"/>
                <w:sz w:val="20"/>
                <w:szCs w:val="20"/>
                <w14:ligatures w14:val="none"/>
              </w:rPr>
            </w:pPr>
          </w:p>
        </w:tc>
      </w:tr>
      <w:tr w:rsidR="0099599B" w14:paraId="4FD70442" w14:textId="77777777">
        <w:trPr>
          <w:trHeight w:val="300"/>
        </w:trPr>
        <w:tc>
          <w:tcPr>
            <w:tcW w:w="6663" w:type="dxa"/>
            <w:shd w:val="clear" w:color="000000" w:fill="D9E1F2"/>
            <w:noWrap/>
            <w:vAlign w:val="center"/>
          </w:tcPr>
          <w:p w14:paraId="17548C1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Not aware of climate driven risks </w:t>
            </w:r>
          </w:p>
        </w:tc>
        <w:tc>
          <w:tcPr>
            <w:tcW w:w="1814" w:type="dxa"/>
            <w:noWrap/>
            <w:vAlign w:val="center"/>
          </w:tcPr>
          <w:p w14:paraId="219000A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DRR for Service setor workers</w:t>
            </w:r>
          </w:p>
        </w:tc>
        <w:tc>
          <w:tcPr>
            <w:tcW w:w="1041" w:type="dxa"/>
            <w:noWrap/>
            <w:vAlign w:val="center"/>
          </w:tcPr>
          <w:p w14:paraId="2C764237"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7A9D135A" w14:textId="77777777">
        <w:trPr>
          <w:trHeight w:val="300"/>
        </w:trPr>
        <w:tc>
          <w:tcPr>
            <w:tcW w:w="6663" w:type="dxa"/>
            <w:shd w:val="clear" w:color="000000" w:fill="D9E1F2"/>
            <w:noWrap/>
            <w:vAlign w:val="center"/>
          </w:tcPr>
          <w:p w14:paraId="06CB2E5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who received no warnings to extreme weather</w:t>
            </w:r>
          </w:p>
        </w:tc>
        <w:tc>
          <w:tcPr>
            <w:tcW w:w="1814" w:type="dxa"/>
            <w:noWrap/>
            <w:vAlign w:val="center"/>
          </w:tcPr>
          <w:p w14:paraId="3BBEB68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E6DF001" w14:textId="77777777" w:rsidR="0099599B" w:rsidRDefault="0099599B">
            <w:pPr>
              <w:spacing w:after="0" w:line="240" w:lineRule="auto"/>
              <w:rPr>
                <w:rFonts w:eastAsia="Times New Roman"/>
                <w:kern w:val="0"/>
                <w:sz w:val="20"/>
                <w:szCs w:val="20"/>
                <w14:ligatures w14:val="none"/>
              </w:rPr>
            </w:pPr>
          </w:p>
        </w:tc>
      </w:tr>
      <w:tr w:rsidR="0099599B" w14:paraId="6FF2F9D9" w14:textId="77777777">
        <w:trPr>
          <w:trHeight w:val="300"/>
        </w:trPr>
        <w:tc>
          <w:tcPr>
            <w:tcW w:w="6663" w:type="dxa"/>
            <w:shd w:val="clear" w:color="000000" w:fill="D9E1F2"/>
            <w:noWrap/>
            <w:vAlign w:val="center"/>
          </w:tcPr>
          <w:p w14:paraId="76FC5E5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does not recieve information of weather information for your communication devices</w:t>
            </w:r>
          </w:p>
        </w:tc>
        <w:tc>
          <w:tcPr>
            <w:tcW w:w="1814" w:type="dxa"/>
            <w:noWrap/>
            <w:vAlign w:val="center"/>
          </w:tcPr>
          <w:p w14:paraId="4ABC89D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E020E7F" w14:textId="77777777" w:rsidR="0099599B" w:rsidRDefault="0099599B">
            <w:pPr>
              <w:spacing w:after="0" w:line="240" w:lineRule="auto"/>
              <w:rPr>
                <w:rFonts w:eastAsia="Times New Roman"/>
                <w:kern w:val="0"/>
                <w:sz w:val="20"/>
                <w:szCs w:val="20"/>
                <w14:ligatures w14:val="none"/>
              </w:rPr>
            </w:pPr>
          </w:p>
        </w:tc>
      </w:tr>
      <w:tr w:rsidR="0099599B" w14:paraId="47B1C9EA" w14:textId="77777777">
        <w:trPr>
          <w:trHeight w:val="300"/>
        </w:trPr>
        <w:tc>
          <w:tcPr>
            <w:tcW w:w="6663" w:type="dxa"/>
            <w:shd w:val="clear" w:color="000000" w:fill="D9E1F2"/>
            <w:noWrap/>
            <w:vAlign w:val="center"/>
          </w:tcPr>
          <w:p w14:paraId="5767E04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4713298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452C186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29</w:t>
            </w:r>
          </w:p>
        </w:tc>
      </w:tr>
      <w:tr w:rsidR="0099599B" w14:paraId="2F24D9C1" w14:textId="77777777">
        <w:trPr>
          <w:trHeight w:val="300"/>
        </w:trPr>
        <w:tc>
          <w:tcPr>
            <w:tcW w:w="6663" w:type="dxa"/>
            <w:shd w:val="clear" w:color="000000" w:fill="D9E1F2"/>
            <w:noWrap/>
            <w:vAlign w:val="center"/>
          </w:tcPr>
          <w:p w14:paraId="0A9BF85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noWrap/>
            <w:vAlign w:val="center"/>
          </w:tcPr>
          <w:p w14:paraId="1C91FAE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752D0E6" w14:textId="77777777" w:rsidR="0099599B" w:rsidRDefault="0099599B">
            <w:pPr>
              <w:spacing w:after="0" w:line="240" w:lineRule="auto"/>
              <w:rPr>
                <w:rFonts w:eastAsia="Times New Roman"/>
                <w:kern w:val="0"/>
                <w:sz w:val="20"/>
                <w:szCs w:val="20"/>
                <w14:ligatures w14:val="none"/>
              </w:rPr>
            </w:pPr>
          </w:p>
        </w:tc>
      </w:tr>
      <w:tr w:rsidR="0099599B" w14:paraId="272A2585" w14:textId="77777777">
        <w:trPr>
          <w:trHeight w:val="300"/>
        </w:trPr>
        <w:tc>
          <w:tcPr>
            <w:tcW w:w="6663" w:type="dxa"/>
            <w:shd w:val="clear" w:color="000000" w:fill="F8CBAD"/>
            <w:noWrap/>
            <w:vAlign w:val="center"/>
          </w:tcPr>
          <w:p w14:paraId="33C27E8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477DE55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43D395E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8</w:t>
            </w:r>
          </w:p>
        </w:tc>
      </w:tr>
      <w:tr w:rsidR="0099599B" w14:paraId="14832D91" w14:textId="77777777">
        <w:trPr>
          <w:trHeight w:val="300"/>
        </w:trPr>
        <w:tc>
          <w:tcPr>
            <w:tcW w:w="6663" w:type="dxa"/>
            <w:shd w:val="clear" w:color="000000" w:fill="F8CBAD"/>
            <w:noWrap/>
            <w:vAlign w:val="center"/>
          </w:tcPr>
          <w:p w14:paraId="16EE230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48C38B5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0C5EF8A" w14:textId="77777777" w:rsidR="0099599B" w:rsidRDefault="0099599B">
            <w:pPr>
              <w:spacing w:after="0" w:line="240" w:lineRule="auto"/>
              <w:rPr>
                <w:rFonts w:eastAsia="Times New Roman"/>
                <w:kern w:val="0"/>
                <w:sz w:val="20"/>
                <w:szCs w:val="20"/>
                <w14:ligatures w14:val="none"/>
              </w:rPr>
            </w:pPr>
          </w:p>
        </w:tc>
      </w:tr>
      <w:tr w:rsidR="0099599B" w14:paraId="3C0DF15F" w14:textId="77777777">
        <w:trPr>
          <w:trHeight w:val="300"/>
        </w:trPr>
        <w:tc>
          <w:tcPr>
            <w:tcW w:w="6663" w:type="dxa"/>
            <w:shd w:val="clear" w:color="000000" w:fill="F8CBAD"/>
            <w:noWrap/>
            <w:vAlign w:val="center"/>
          </w:tcPr>
          <w:p w14:paraId="0777E28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service businesses in flood prone areas</w:t>
            </w:r>
          </w:p>
        </w:tc>
        <w:tc>
          <w:tcPr>
            <w:tcW w:w="1814" w:type="dxa"/>
            <w:noWrap/>
            <w:vAlign w:val="center"/>
          </w:tcPr>
          <w:p w14:paraId="1D3925A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465AF97" w14:textId="77777777" w:rsidR="0099599B" w:rsidRDefault="0099599B">
            <w:pPr>
              <w:spacing w:after="0" w:line="240" w:lineRule="auto"/>
              <w:rPr>
                <w:rFonts w:eastAsia="Times New Roman"/>
                <w:kern w:val="0"/>
                <w:sz w:val="20"/>
                <w:szCs w:val="20"/>
                <w14:ligatures w14:val="none"/>
              </w:rPr>
            </w:pPr>
          </w:p>
        </w:tc>
      </w:tr>
      <w:tr w:rsidR="0099599B" w14:paraId="4514F969" w14:textId="77777777">
        <w:trPr>
          <w:trHeight w:val="300"/>
        </w:trPr>
        <w:tc>
          <w:tcPr>
            <w:tcW w:w="6663" w:type="dxa"/>
            <w:shd w:val="clear" w:color="000000" w:fill="F8CBAD"/>
            <w:noWrap/>
            <w:vAlign w:val="center"/>
          </w:tcPr>
          <w:p w14:paraId="7DF1A83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forest pest and disease outbreak</w:t>
            </w:r>
          </w:p>
        </w:tc>
        <w:tc>
          <w:tcPr>
            <w:tcW w:w="1814" w:type="dxa"/>
            <w:noWrap/>
            <w:vAlign w:val="center"/>
          </w:tcPr>
          <w:p w14:paraId="3ACF5CF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02E2382" w14:textId="77777777" w:rsidR="0099599B" w:rsidRDefault="0099599B">
            <w:pPr>
              <w:spacing w:after="0" w:line="240" w:lineRule="auto"/>
              <w:rPr>
                <w:rFonts w:eastAsia="Times New Roman"/>
                <w:kern w:val="0"/>
                <w:sz w:val="20"/>
                <w:szCs w:val="20"/>
                <w14:ligatures w14:val="none"/>
              </w:rPr>
            </w:pPr>
          </w:p>
        </w:tc>
      </w:tr>
      <w:tr w:rsidR="0099599B" w14:paraId="2E8C84B3" w14:textId="77777777">
        <w:trPr>
          <w:trHeight w:val="300"/>
        </w:trPr>
        <w:tc>
          <w:tcPr>
            <w:tcW w:w="6663" w:type="dxa"/>
            <w:shd w:val="clear" w:color="000000" w:fill="F8CBAD"/>
            <w:noWrap/>
            <w:vAlign w:val="center"/>
          </w:tcPr>
          <w:p w14:paraId="50B0FA0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Number of forest fires  have occurred in this community since 10 years ago </w:t>
            </w:r>
          </w:p>
        </w:tc>
        <w:tc>
          <w:tcPr>
            <w:tcW w:w="1814" w:type="dxa"/>
            <w:noWrap/>
            <w:vAlign w:val="center"/>
          </w:tcPr>
          <w:p w14:paraId="3075947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9CCBD72" w14:textId="77777777" w:rsidR="0099599B" w:rsidRDefault="0099599B">
            <w:pPr>
              <w:spacing w:after="0" w:line="240" w:lineRule="auto"/>
              <w:rPr>
                <w:rFonts w:eastAsia="Times New Roman"/>
                <w:kern w:val="0"/>
                <w:sz w:val="20"/>
                <w:szCs w:val="20"/>
                <w14:ligatures w14:val="none"/>
              </w:rPr>
            </w:pPr>
          </w:p>
        </w:tc>
      </w:tr>
      <w:tr w:rsidR="0099599B" w14:paraId="31032F75" w14:textId="77777777">
        <w:trPr>
          <w:trHeight w:val="300"/>
        </w:trPr>
        <w:tc>
          <w:tcPr>
            <w:tcW w:w="6663" w:type="dxa"/>
            <w:shd w:val="clear" w:color="000000" w:fill="F8CBAD"/>
            <w:noWrap/>
            <w:vAlign w:val="center"/>
          </w:tcPr>
          <w:p w14:paraId="5FCB890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1E551F7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2A437F3" w14:textId="77777777" w:rsidR="0099599B" w:rsidRDefault="0099599B">
            <w:pPr>
              <w:spacing w:after="0" w:line="240" w:lineRule="auto"/>
              <w:rPr>
                <w:rFonts w:eastAsia="Times New Roman"/>
                <w:kern w:val="0"/>
                <w:sz w:val="20"/>
                <w:szCs w:val="20"/>
                <w14:ligatures w14:val="none"/>
              </w:rPr>
            </w:pPr>
          </w:p>
        </w:tc>
      </w:tr>
      <w:tr w:rsidR="0099599B" w14:paraId="4BD01412" w14:textId="77777777">
        <w:trPr>
          <w:trHeight w:val="300"/>
        </w:trPr>
        <w:tc>
          <w:tcPr>
            <w:tcW w:w="6663" w:type="dxa"/>
            <w:shd w:val="clear" w:color="000000" w:fill="F8CBAD"/>
            <w:noWrap/>
            <w:vAlign w:val="center"/>
          </w:tcPr>
          <w:p w14:paraId="62406E9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5CDFCE4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0F96CD0" w14:textId="77777777" w:rsidR="0099599B" w:rsidRDefault="0099599B">
            <w:pPr>
              <w:spacing w:after="0" w:line="240" w:lineRule="auto"/>
              <w:rPr>
                <w:rFonts w:eastAsia="Times New Roman"/>
                <w:kern w:val="0"/>
                <w:sz w:val="20"/>
                <w:szCs w:val="20"/>
                <w14:ligatures w14:val="none"/>
              </w:rPr>
            </w:pPr>
          </w:p>
        </w:tc>
      </w:tr>
      <w:tr w:rsidR="0099599B" w14:paraId="2DED2A8C" w14:textId="77777777">
        <w:trPr>
          <w:trHeight w:val="300"/>
        </w:trPr>
        <w:tc>
          <w:tcPr>
            <w:tcW w:w="6663" w:type="dxa"/>
            <w:shd w:val="clear" w:color="000000" w:fill="F8CBAD"/>
            <w:noWrap/>
            <w:vAlign w:val="center"/>
          </w:tcPr>
          <w:p w14:paraId="089ECC5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4F11B1E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4E26FEF" w14:textId="77777777" w:rsidR="0099599B" w:rsidRDefault="0099599B">
            <w:pPr>
              <w:spacing w:after="0" w:line="240" w:lineRule="auto"/>
              <w:rPr>
                <w:rFonts w:eastAsia="Times New Roman"/>
                <w:kern w:val="0"/>
                <w:sz w:val="20"/>
                <w:szCs w:val="20"/>
                <w14:ligatures w14:val="none"/>
              </w:rPr>
            </w:pPr>
          </w:p>
        </w:tc>
      </w:tr>
      <w:tr w:rsidR="0099599B" w14:paraId="7C151ABC" w14:textId="77777777">
        <w:trPr>
          <w:trHeight w:val="300"/>
        </w:trPr>
        <w:tc>
          <w:tcPr>
            <w:tcW w:w="6663" w:type="dxa"/>
            <w:shd w:val="clear" w:color="000000" w:fill="F4B084"/>
            <w:noWrap/>
            <w:vAlign w:val="center"/>
          </w:tcPr>
          <w:p w14:paraId="7E86071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76CBBD9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1357D50" w14:textId="77777777" w:rsidR="0099599B" w:rsidRDefault="0099599B">
            <w:pPr>
              <w:spacing w:after="0" w:line="240" w:lineRule="auto"/>
              <w:rPr>
                <w:rFonts w:eastAsia="Times New Roman"/>
                <w:kern w:val="0"/>
                <w:sz w:val="20"/>
                <w:szCs w:val="20"/>
                <w14:ligatures w14:val="none"/>
              </w:rPr>
            </w:pPr>
          </w:p>
        </w:tc>
      </w:tr>
      <w:tr w:rsidR="0099599B" w14:paraId="117DD795" w14:textId="77777777">
        <w:trPr>
          <w:trHeight w:val="300"/>
        </w:trPr>
        <w:tc>
          <w:tcPr>
            <w:tcW w:w="6663" w:type="dxa"/>
            <w:shd w:val="clear" w:color="000000" w:fill="F4B084"/>
            <w:noWrap/>
            <w:vAlign w:val="center"/>
          </w:tcPr>
          <w:p w14:paraId="50AF92B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7A9D260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79C83A9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7CAE37B4" w14:textId="77777777">
        <w:trPr>
          <w:trHeight w:val="300"/>
        </w:trPr>
        <w:tc>
          <w:tcPr>
            <w:tcW w:w="6663" w:type="dxa"/>
            <w:shd w:val="clear" w:color="000000" w:fill="F4B084"/>
            <w:noWrap/>
            <w:vAlign w:val="center"/>
          </w:tcPr>
          <w:p w14:paraId="23C41F4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35F1EBA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CEAF463" w14:textId="77777777" w:rsidR="0099599B" w:rsidRDefault="0099599B">
            <w:pPr>
              <w:spacing w:after="0" w:line="240" w:lineRule="auto"/>
              <w:rPr>
                <w:rFonts w:eastAsia="Times New Roman"/>
                <w:kern w:val="0"/>
                <w:sz w:val="20"/>
                <w:szCs w:val="20"/>
                <w14:ligatures w14:val="none"/>
              </w:rPr>
            </w:pPr>
          </w:p>
        </w:tc>
      </w:tr>
      <w:tr w:rsidR="0099599B" w14:paraId="77C98A8B" w14:textId="77777777">
        <w:trPr>
          <w:trHeight w:val="300"/>
        </w:trPr>
        <w:tc>
          <w:tcPr>
            <w:tcW w:w="6663" w:type="dxa"/>
            <w:shd w:val="clear" w:color="000000" w:fill="F4B084"/>
            <w:noWrap/>
            <w:vAlign w:val="center"/>
          </w:tcPr>
          <w:p w14:paraId="429BE80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722052B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D113275" w14:textId="77777777" w:rsidR="0099599B" w:rsidRDefault="0099599B">
            <w:pPr>
              <w:spacing w:after="0" w:line="240" w:lineRule="auto"/>
              <w:rPr>
                <w:rFonts w:eastAsia="Times New Roman"/>
                <w:kern w:val="0"/>
                <w:sz w:val="20"/>
                <w:szCs w:val="20"/>
                <w14:ligatures w14:val="none"/>
              </w:rPr>
            </w:pPr>
          </w:p>
        </w:tc>
      </w:tr>
      <w:tr w:rsidR="0099599B" w14:paraId="37CFED78" w14:textId="77777777">
        <w:trPr>
          <w:trHeight w:val="300"/>
        </w:trPr>
        <w:tc>
          <w:tcPr>
            <w:tcW w:w="6663" w:type="dxa"/>
            <w:shd w:val="clear" w:color="000000" w:fill="F4B084"/>
            <w:noWrap/>
            <w:vAlign w:val="center"/>
          </w:tcPr>
          <w:p w14:paraId="09D4E0C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shd w:val="clear" w:color="000000" w:fill="FFC000"/>
            <w:noWrap/>
            <w:vAlign w:val="center"/>
          </w:tcPr>
          <w:p w14:paraId="46BEC8BE"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2027F432"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13</w:t>
            </w:r>
          </w:p>
        </w:tc>
      </w:tr>
      <w:tr w:rsidR="0099599B" w14:paraId="72423CED" w14:textId="77777777">
        <w:trPr>
          <w:trHeight w:val="300"/>
        </w:trPr>
        <w:tc>
          <w:tcPr>
            <w:tcW w:w="6663" w:type="dxa"/>
            <w:noWrap/>
            <w:vAlign w:val="center"/>
          </w:tcPr>
          <w:p w14:paraId="3ED5DD20" w14:textId="77777777" w:rsidR="0099599B" w:rsidRDefault="0099599B">
            <w:pPr>
              <w:spacing w:after="0" w:line="240" w:lineRule="auto"/>
              <w:jc w:val="right"/>
              <w:rPr>
                <w:rFonts w:ascii="Calibri" w:eastAsia="Times New Roman" w:hAnsi="Calibri" w:cs="Calibri"/>
                <w:color w:val="000000"/>
                <w:kern w:val="0"/>
                <w:sz w:val="22"/>
                <w:szCs w:val="22"/>
                <w14:ligatures w14:val="none"/>
              </w:rPr>
            </w:pPr>
          </w:p>
        </w:tc>
        <w:tc>
          <w:tcPr>
            <w:tcW w:w="1814" w:type="dxa"/>
            <w:noWrap/>
            <w:vAlign w:val="center"/>
          </w:tcPr>
          <w:p w14:paraId="2D90E7DF"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2B1C2849" w14:textId="77777777" w:rsidR="0099599B" w:rsidRDefault="0099599B">
            <w:pPr>
              <w:spacing w:after="0" w:line="240" w:lineRule="auto"/>
              <w:rPr>
                <w:rFonts w:eastAsia="Times New Roman"/>
                <w:kern w:val="0"/>
                <w:sz w:val="20"/>
                <w:szCs w:val="20"/>
                <w14:ligatures w14:val="none"/>
              </w:rPr>
            </w:pPr>
          </w:p>
        </w:tc>
      </w:tr>
      <w:tr w:rsidR="0099599B" w14:paraId="496ED425" w14:textId="77777777">
        <w:trPr>
          <w:trHeight w:val="300"/>
        </w:trPr>
        <w:tc>
          <w:tcPr>
            <w:tcW w:w="6663" w:type="dxa"/>
            <w:noWrap/>
            <w:vAlign w:val="center"/>
          </w:tcPr>
          <w:p w14:paraId="72284A14"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DRR Sector</w:t>
            </w:r>
          </w:p>
        </w:tc>
        <w:tc>
          <w:tcPr>
            <w:tcW w:w="1814" w:type="dxa"/>
            <w:noWrap/>
            <w:vAlign w:val="center"/>
          </w:tcPr>
          <w:p w14:paraId="0EAED662" w14:textId="77777777" w:rsidR="0099599B" w:rsidRDefault="0099599B">
            <w:pPr>
              <w:spacing w:after="0" w:line="240" w:lineRule="auto"/>
              <w:jc w:val="center"/>
              <w:rPr>
                <w:rFonts w:ascii="Calibri" w:eastAsia="Times New Roman" w:hAnsi="Calibri" w:cs="Calibri"/>
                <w:b/>
                <w:bCs/>
                <w:color w:val="000000"/>
                <w:kern w:val="0"/>
                <w:sz w:val="22"/>
                <w:szCs w:val="22"/>
                <w14:ligatures w14:val="none"/>
              </w:rPr>
            </w:pPr>
          </w:p>
        </w:tc>
        <w:tc>
          <w:tcPr>
            <w:tcW w:w="1041" w:type="dxa"/>
            <w:noWrap/>
            <w:vAlign w:val="center"/>
          </w:tcPr>
          <w:p w14:paraId="64631D7B" w14:textId="77777777" w:rsidR="0099599B" w:rsidRDefault="0099599B">
            <w:pPr>
              <w:spacing w:after="0" w:line="240" w:lineRule="auto"/>
              <w:rPr>
                <w:rFonts w:eastAsia="Times New Roman"/>
                <w:kern w:val="0"/>
                <w:sz w:val="20"/>
                <w:szCs w:val="20"/>
                <w14:ligatures w14:val="none"/>
              </w:rPr>
            </w:pPr>
          </w:p>
        </w:tc>
      </w:tr>
      <w:tr w:rsidR="0099599B" w14:paraId="15D7B904" w14:textId="77777777">
        <w:trPr>
          <w:trHeight w:val="300"/>
        </w:trPr>
        <w:tc>
          <w:tcPr>
            <w:tcW w:w="6663" w:type="dxa"/>
            <w:shd w:val="clear" w:color="000000" w:fill="E2EFDA"/>
            <w:noWrap/>
            <w:vAlign w:val="center"/>
          </w:tcPr>
          <w:p w14:paraId="3BCD6ED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with no Education</w:t>
            </w:r>
          </w:p>
        </w:tc>
        <w:tc>
          <w:tcPr>
            <w:tcW w:w="1814" w:type="dxa"/>
            <w:noWrap/>
            <w:vAlign w:val="center"/>
          </w:tcPr>
          <w:p w14:paraId="5321774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45E8FA5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03CF04A0" w14:textId="77777777">
        <w:trPr>
          <w:trHeight w:val="300"/>
        </w:trPr>
        <w:tc>
          <w:tcPr>
            <w:tcW w:w="6663" w:type="dxa"/>
            <w:shd w:val="clear" w:color="000000" w:fill="E2EFDA"/>
            <w:noWrap/>
            <w:vAlign w:val="center"/>
          </w:tcPr>
          <w:p w14:paraId="0FE17BC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Unemployed</w:t>
            </w:r>
          </w:p>
        </w:tc>
        <w:tc>
          <w:tcPr>
            <w:tcW w:w="1814" w:type="dxa"/>
            <w:noWrap/>
            <w:vAlign w:val="center"/>
          </w:tcPr>
          <w:p w14:paraId="5856A3B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ED45BB6" w14:textId="77777777" w:rsidR="0099599B" w:rsidRDefault="0099599B">
            <w:pPr>
              <w:spacing w:after="0" w:line="240" w:lineRule="auto"/>
              <w:rPr>
                <w:rFonts w:eastAsia="Times New Roman"/>
                <w:kern w:val="0"/>
                <w:sz w:val="20"/>
                <w:szCs w:val="20"/>
                <w14:ligatures w14:val="none"/>
              </w:rPr>
            </w:pPr>
          </w:p>
        </w:tc>
      </w:tr>
      <w:tr w:rsidR="0099599B" w14:paraId="4882E43C" w14:textId="77777777">
        <w:trPr>
          <w:trHeight w:val="300"/>
        </w:trPr>
        <w:tc>
          <w:tcPr>
            <w:tcW w:w="6663" w:type="dxa"/>
            <w:shd w:val="clear" w:color="000000" w:fill="C6E0B4"/>
            <w:noWrap/>
            <w:vAlign w:val="center"/>
          </w:tcPr>
          <w:p w14:paraId="37F127B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engaged in any secondary occupation</w:t>
            </w:r>
          </w:p>
        </w:tc>
        <w:tc>
          <w:tcPr>
            <w:tcW w:w="1814" w:type="dxa"/>
            <w:noWrap/>
            <w:vAlign w:val="center"/>
          </w:tcPr>
          <w:p w14:paraId="398E980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E6A8BD3" w14:textId="77777777" w:rsidR="0099599B" w:rsidRDefault="0099599B">
            <w:pPr>
              <w:spacing w:after="0" w:line="240" w:lineRule="auto"/>
              <w:rPr>
                <w:rFonts w:eastAsia="Times New Roman"/>
                <w:kern w:val="0"/>
                <w:sz w:val="20"/>
                <w:szCs w:val="20"/>
                <w14:ligatures w14:val="none"/>
              </w:rPr>
            </w:pPr>
          </w:p>
        </w:tc>
      </w:tr>
      <w:tr w:rsidR="0099599B" w14:paraId="5C1BD8BB" w14:textId="77777777">
        <w:trPr>
          <w:trHeight w:val="300"/>
        </w:trPr>
        <w:tc>
          <w:tcPr>
            <w:tcW w:w="6663" w:type="dxa"/>
            <w:shd w:val="clear" w:color="000000" w:fill="C6E0B4"/>
            <w:noWrap/>
            <w:vAlign w:val="center"/>
          </w:tcPr>
          <w:p w14:paraId="607AAFA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agriculture as only source of income</w:t>
            </w:r>
          </w:p>
        </w:tc>
        <w:tc>
          <w:tcPr>
            <w:tcW w:w="1814" w:type="dxa"/>
            <w:noWrap/>
            <w:vAlign w:val="center"/>
          </w:tcPr>
          <w:p w14:paraId="5DB296E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w:t>
            </w:r>
          </w:p>
        </w:tc>
        <w:tc>
          <w:tcPr>
            <w:tcW w:w="1041" w:type="dxa"/>
            <w:noWrap/>
            <w:vAlign w:val="center"/>
          </w:tcPr>
          <w:p w14:paraId="2753FCF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13</w:t>
            </w:r>
          </w:p>
        </w:tc>
      </w:tr>
      <w:tr w:rsidR="0099599B" w14:paraId="60C6089F" w14:textId="77777777">
        <w:trPr>
          <w:trHeight w:val="300"/>
        </w:trPr>
        <w:tc>
          <w:tcPr>
            <w:tcW w:w="6663" w:type="dxa"/>
            <w:shd w:val="clear" w:color="000000" w:fill="C6E0B4"/>
            <w:noWrap/>
            <w:vAlign w:val="center"/>
          </w:tcPr>
          <w:p w14:paraId="335671B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civil or government as only source of income</w:t>
            </w:r>
          </w:p>
        </w:tc>
        <w:tc>
          <w:tcPr>
            <w:tcW w:w="1814" w:type="dxa"/>
            <w:noWrap/>
            <w:vAlign w:val="center"/>
          </w:tcPr>
          <w:p w14:paraId="1654ABD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951C381" w14:textId="77777777" w:rsidR="0099599B" w:rsidRDefault="0099599B">
            <w:pPr>
              <w:spacing w:after="0" w:line="240" w:lineRule="auto"/>
              <w:rPr>
                <w:rFonts w:eastAsia="Times New Roman"/>
                <w:kern w:val="0"/>
                <w:sz w:val="20"/>
                <w:szCs w:val="20"/>
                <w14:ligatures w14:val="none"/>
              </w:rPr>
            </w:pPr>
          </w:p>
        </w:tc>
      </w:tr>
      <w:tr w:rsidR="0099599B" w14:paraId="414B320B" w14:textId="77777777">
        <w:trPr>
          <w:trHeight w:val="300"/>
        </w:trPr>
        <w:tc>
          <w:tcPr>
            <w:tcW w:w="6663" w:type="dxa"/>
            <w:shd w:val="clear" w:color="000000" w:fill="C6E0B4"/>
            <w:noWrap/>
            <w:vAlign w:val="center"/>
          </w:tcPr>
          <w:p w14:paraId="2845B70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private sector (busisness) as only source of income</w:t>
            </w:r>
          </w:p>
        </w:tc>
        <w:tc>
          <w:tcPr>
            <w:tcW w:w="1814" w:type="dxa"/>
            <w:noWrap/>
            <w:vAlign w:val="center"/>
          </w:tcPr>
          <w:p w14:paraId="158B0CF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27C3007" w14:textId="77777777" w:rsidR="0099599B" w:rsidRDefault="0099599B">
            <w:pPr>
              <w:spacing w:after="0" w:line="240" w:lineRule="auto"/>
              <w:rPr>
                <w:rFonts w:eastAsia="Times New Roman"/>
                <w:kern w:val="0"/>
                <w:sz w:val="20"/>
                <w:szCs w:val="20"/>
                <w14:ligatures w14:val="none"/>
              </w:rPr>
            </w:pPr>
          </w:p>
        </w:tc>
      </w:tr>
      <w:tr w:rsidR="0099599B" w14:paraId="5D1F3CBE" w14:textId="77777777">
        <w:trPr>
          <w:trHeight w:val="300"/>
        </w:trPr>
        <w:tc>
          <w:tcPr>
            <w:tcW w:w="6663" w:type="dxa"/>
            <w:shd w:val="clear" w:color="000000" w:fill="C6E0B4"/>
            <w:noWrap/>
            <w:vAlign w:val="center"/>
          </w:tcPr>
          <w:p w14:paraId="7CCB9DF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 fishing as only source of income</w:t>
            </w:r>
          </w:p>
        </w:tc>
        <w:tc>
          <w:tcPr>
            <w:tcW w:w="1814" w:type="dxa"/>
            <w:noWrap/>
            <w:vAlign w:val="center"/>
          </w:tcPr>
          <w:p w14:paraId="2A791CD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354892D" w14:textId="77777777" w:rsidR="0099599B" w:rsidRDefault="0099599B">
            <w:pPr>
              <w:spacing w:after="0" w:line="240" w:lineRule="auto"/>
              <w:rPr>
                <w:rFonts w:eastAsia="Times New Roman"/>
                <w:kern w:val="0"/>
                <w:sz w:val="20"/>
                <w:szCs w:val="20"/>
                <w14:ligatures w14:val="none"/>
              </w:rPr>
            </w:pPr>
          </w:p>
        </w:tc>
      </w:tr>
      <w:tr w:rsidR="0099599B" w14:paraId="0BD2688C" w14:textId="77777777">
        <w:trPr>
          <w:trHeight w:val="300"/>
        </w:trPr>
        <w:tc>
          <w:tcPr>
            <w:tcW w:w="6663" w:type="dxa"/>
            <w:shd w:val="clear" w:color="000000" w:fill="C6E0B4"/>
            <w:noWrap/>
            <w:vAlign w:val="center"/>
          </w:tcPr>
          <w:p w14:paraId="126A241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%Households without member working outside community</w:t>
            </w:r>
          </w:p>
        </w:tc>
        <w:tc>
          <w:tcPr>
            <w:tcW w:w="1814" w:type="dxa"/>
            <w:noWrap/>
            <w:vAlign w:val="center"/>
          </w:tcPr>
          <w:p w14:paraId="0CF823E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6865E0A" w14:textId="77777777" w:rsidR="0099599B" w:rsidRDefault="0099599B">
            <w:pPr>
              <w:spacing w:after="0" w:line="240" w:lineRule="auto"/>
              <w:rPr>
                <w:rFonts w:eastAsia="Times New Roman"/>
                <w:kern w:val="0"/>
                <w:sz w:val="20"/>
                <w:szCs w:val="20"/>
                <w14:ligatures w14:val="none"/>
              </w:rPr>
            </w:pPr>
          </w:p>
        </w:tc>
      </w:tr>
      <w:tr w:rsidR="0099599B" w14:paraId="0FD6A093" w14:textId="77777777">
        <w:trPr>
          <w:trHeight w:val="300"/>
        </w:trPr>
        <w:tc>
          <w:tcPr>
            <w:tcW w:w="6663" w:type="dxa"/>
            <w:shd w:val="clear" w:color="000000" w:fill="C6E0B4"/>
            <w:noWrap/>
            <w:vAlign w:val="center"/>
          </w:tcPr>
          <w:p w14:paraId="22017E3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2E53655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06362EB" w14:textId="77777777" w:rsidR="0099599B" w:rsidRDefault="0099599B">
            <w:pPr>
              <w:spacing w:after="0" w:line="240" w:lineRule="auto"/>
              <w:rPr>
                <w:rFonts w:eastAsia="Times New Roman"/>
                <w:kern w:val="0"/>
                <w:sz w:val="20"/>
                <w:szCs w:val="20"/>
                <w14:ligatures w14:val="none"/>
              </w:rPr>
            </w:pPr>
          </w:p>
        </w:tc>
      </w:tr>
      <w:tr w:rsidR="0099599B" w14:paraId="52015963" w14:textId="77777777">
        <w:trPr>
          <w:trHeight w:val="300"/>
        </w:trPr>
        <w:tc>
          <w:tcPr>
            <w:tcW w:w="6663" w:type="dxa"/>
            <w:shd w:val="clear" w:color="000000" w:fill="C6E0B4"/>
            <w:noWrap/>
            <w:vAlign w:val="center"/>
          </w:tcPr>
          <w:p w14:paraId="37DADAA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obtaining income from the forestry sector</w:t>
            </w:r>
          </w:p>
        </w:tc>
        <w:tc>
          <w:tcPr>
            <w:tcW w:w="1814" w:type="dxa"/>
            <w:noWrap/>
            <w:vAlign w:val="center"/>
          </w:tcPr>
          <w:p w14:paraId="62031BC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C4E46DD" w14:textId="77777777" w:rsidR="0099599B" w:rsidRDefault="0099599B">
            <w:pPr>
              <w:spacing w:after="0" w:line="240" w:lineRule="auto"/>
              <w:rPr>
                <w:rFonts w:eastAsia="Times New Roman"/>
                <w:kern w:val="0"/>
                <w:sz w:val="20"/>
                <w:szCs w:val="20"/>
                <w14:ligatures w14:val="none"/>
              </w:rPr>
            </w:pPr>
          </w:p>
        </w:tc>
      </w:tr>
      <w:tr w:rsidR="0099599B" w14:paraId="10C08A19" w14:textId="77777777">
        <w:trPr>
          <w:trHeight w:val="300"/>
        </w:trPr>
        <w:tc>
          <w:tcPr>
            <w:tcW w:w="6663" w:type="dxa"/>
            <w:shd w:val="clear" w:color="000000" w:fill="C6E0B4"/>
            <w:noWrap/>
            <w:vAlign w:val="center"/>
          </w:tcPr>
          <w:p w14:paraId="18CF014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growing 1 more crop</w:t>
            </w:r>
          </w:p>
        </w:tc>
        <w:tc>
          <w:tcPr>
            <w:tcW w:w="1814" w:type="dxa"/>
            <w:noWrap/>
            <w:vAlign w:val="center"/>
          </w:tcPr>
          <w:p w14:paraId="58710A9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3AFF7C2" w14:textId="77777777" w:rsidR="0099599B" w:rsidRDefault="0099599B">
            <w:pPr>
              <w:spacing w:after="0" w:line="240" w:lineRule="auto"/>
              <w:rPr>
                <w:rFonts w:eastAsia="Times New Roman"/>
                <w:kern w:val="0"/>
                <w:sz w:val="20"/>
                <w:szCs w:val="20"/>
                <w14:ligatures w14:val="none"/>
              </w:rPr>
            </w:pPr>
          </w:p>
        </w:tc>
      </w:tr>
      <w:tr w:rsidR="0099599B" w14:paraId="628664EB" w14:textId="77777777">
        <w:trPr>
          <w:trHeight w:val="300"/>
        </w:trPr>
        <w:tc>
          <w:tcPr>
            <w:tcW w:w="6663" w:type="dxa"/>
            <w:shd w:val="clear" w:color="000000" w:fill="C6E0B4"/>
            <w:noWrap/>
            <w:vAlign w:val="center"/>
          </w:tcPr>
          <w:p w14:paraId="457E928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rearing livestock</w:t>
            </w:r>
          </w:p>
        </w:tc>
        <w:tc>
          <w:tcPr>
            <w:tcW w:w="1814" w:type="dxa"/>
            <w:noWrap/>
            <w:vAlign w:val="center"/>
          </w:tcPr>
          <w:p w14:paraId="23C8671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A28991A" w14:textId="77777777" w:rsidR="0099599B" w:rsidRDefault="0099599B">
            <w:pPr>
              <w:spacing w:after="0" w:line="240" w:lineRule="auto"/>
              <w:rPr>
                <w:rFonts w:eastAsia="Times New Roman"/>
                <w:kern w:val="0"/>
                <w:sz w:val="20"/>
                <w:szCs w:val="20"/>
                <w14:ligatures w14:val="none"/>
              </w:rPr>
            </w:pPr>
          </w:p>
        </w:tc>
      </w:tr>
      <w:tr w:rsidR="0099599B" w14:paraId="61034136" w14:textId="77777777">
        <w:trPr>
          <w:trHeight w:val="300"/>
        </w:trPr>
        <w:tc>
          <w:tcPr>
            <w:tcW w:w="6663" w:type="dxa"/>
            <w:shd w:val="clear" w:color="000000" w:fill="C6E0B4"/>
            <w:noWrap/>
            <w:vAlign w:val="center"/>
          </w:tcPr>
          <w:p w14:paraId="58DA697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left due to climate/environmental changes in last 5 years?</w:t>
            </w:r>
          </w:p>
        </w:tc>
        <w:tc>
          <w:tcPr>
            <w:tcW w:w="1814" w:type="dxa"/>
            <w:noWrap/>
            <w:vAlign w:val="center"/>
          </w:tcPr>
          <w:p w14:paraId="4E0D72E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4FE760A" w14:textId="77777777" w:rsidR="0099599B" w:rsidRDefault="0099599B">
            <w:pPr>
              <w:spacing w:after="0" w:line="240" w:lineRule="auto"/>
              <w:rPr>
                <w:rFonts w:eastAsia="Times New Roman"/>
                <w:kern w:val="0"/>
                <w:sz w:val="20"/>
                <w:szCs w:val="20"/>
                <w14:ligatures w14:val="none"/>
              </w:rPr>
            </w:pPr>
          </w:p>
        </w:tc>
      </w:tr>
      <w:tr w:rsidR="0099599B" w14:paraId="03DFF5A9" w14:textId="77777777">
        <w:trPr>
          <w:trHeight w:val="300"/>
        </w:trPr>
        <w:tc>
          <w:tcPr>
            <w:tcW w:w="6663" w:type="dxa"/>
            <w:shd w:val="clear" w:color="000000" w:fill="C6E0B4"/>
            <w:noWrap/>
            <w:vAlign w:val="center"/>
          </w:tcPr>
          <w:p w14:paraId="54E99DE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Interested in agricultural insurance but cannot afford</w:t>
            </w:r>
          </w:p>
        </w:tc>
        <w:tc>
          <w:tcPr>
            <w:tcW w:w="1814" w:type="dxa"/>
            <w:noWrap/>
            <w:vAlign w:val="center"/>
          </w:tcPr>
          <w:p w14:paraId="215B158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E55FD37" w14:textId="77777777" w:rsidR="0099599B" w:rsidRDefault="0099599B">
            <w:pPr>
              <w:spacing w:after="0" w:line="240" w:lineRule="auto"/>
              <w:rPr>
                <w:rFonts w:eastAsia="Times New Roman"/>
                <w:kern w:val="0"/>
                <w:sz w:val="20"/>
                <w:szCs w:val="20"/>
                <w14:ligatures w14:val="none"/>
              </w:rPr>
            </w:pPr>
          </w:p>
        </w:tc>
      </w:tr>
      <w:tr w:rsidR="0099599B" w14:paraId="422C1E2A" w14:textId="77777777">
        <w:trPr>
          <w:trHeight w:val="300"/>
        </w:trPr>
        <w:tc>
          <w:tcPr>
            <w:tcW w:w="6663" w:type="dxa"/>
            <w:shd w:val="clear" w:color="000000" w:fill="C6E0B4"/>
            <w:noWrap/>
            <w:vAlign w:val="center"/>
          </w:tcPr>
          <w:p w14:paraId="41DFFD3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suscribed to agricultural insurance</w:t>
            </w:r>
          </w:p>
        </w:tc>
        <w:tc>
          <w:tcPr>
            <w:tcW w:w="1814" w:type="dxa"/>
            <w:noWrap/>
            <w:vAlign w:val="center"/>
          </w:tcPr>
          <w:p w14:paraId="49029A0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3DCA17E" w14:textId="77777777" w:rsidR="0099599B" w:rsidRDefault="0099599B">
            <w:pPr>
              <w:spacing w:after="0" w:line="240" w:lineRule="auto"/>
              <w:rPr>
                <w:rFonts w:eastAsia="Times New Roman"/>
                <w:kern w:val="0"/>
                <w:sz w:val="20"/>
                <w:szCs w:val="20"/>
                <w14:ligatures w14:val="none"/>
              </w:rPr>
            </w:pPr>
          </w:p>
        </w:tc>
      </w:tr>
      <w:tr w:rsidR="0099599B" w14:paraId="678CB89E" w14:textId="77777777">
        <w:trPr>
          <w:trHeight w:val="300"/>
        </w:trPr>
        <w:tc>
          <w:tcPr>
            <w:tcW w:w="6663" w:type="dxa"/>
            <w:shd w:val="clear" w:color="000000" w:fill="A9D08E"/>
            <w:noWrap/>
            <w:vAlign w:val="center"/>
          </w:tcPr>
          <w:p w14:paraId="318DFE5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2F63E5B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2671671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15</w:t>
            </w:r>
          </w:p>
        </w:tc>
      </w:tr>
      <w:tr w:rsidR="0099599B" w14:paraId="751AF887" w14:textId="77777777">
        <w:trPr>
          <w:trHeight w:val="300"/>
        </w:trPr>
        <w:tc>
          <w:tcPr>
            <w:tcW w:w="6663" w:type="dxa"/>
            <w:shd w:val="clear" w:color="000000" w:fill="A9D08E"/>
            <w:noWrap/>
            <w:vAlign w:val="center"/>
          </w:tcPr>
          <w:p w14:paraId="1C93686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Not aware of any gender association or organisation in their community</w:t>
            </w:r>
          </w:p>
        </w:tc>
        <w:tc>
          <w:tcPr>
            <w:tcW w:w="1814" w:type="dxa"/>
            <w:noWrap/>
            <w:vAlign w:val="center"/>
          </w:tcPr>
          <w:p w14:paraId="5E18290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FEBD36D" w14:textId="77777777" w:rsidR="0099599B" w:rsidRDefault="0099599B">
            <w:pPr>
              <w:spacing w:after="0" w:line="240" w:lineRule="auto"/>
              <w:rPr>
                <w:rFonts w:eastAsia="Times New Roman"/>
                <w:kern w:val="0"/>
                <w:sz w:val="20"/>
                <w:szCs w:val="20"/>
                <w14:ligatures w14:val="none"/>
              </w:rPr>
            </w:pPr>
          </w:p>
        </w:tc>
      </w:tr>
      <w:tr w:rsidR="0099599B" w14:paraId="43A9A2EB" w14:textId="77777777">
        <w:trPr>
          <w:trHeight w:val="300"/>
        </w:trPr>
        <w:tc>
          <w:tcPr>
            <w:tcW w:w="6663" w:type="dxa"/>
            <w:shd w:val="clear" w:color="000000" w:fill="A9D08E"/>
            <w:noWrap/>
            <w:vAlign w:val="center"/>
          </w:tcPr>
          <w:p w14:paraId="26BD3D8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communities without there any gender  related government social interventions (e.g.,   LEAP, s </w:t>
            </w:r>
          </w:p>
        </w:tc>
        <w:tc>
          <w:tcPr>
            <w:tcW w:w="1814" w:type="dxa"/>
            <w:noWrap/>
            <w:vAlign w:val="center"/>
          </w:tcPr>
          <w:p w14:paraId="44EDCF2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23057EA" w14:textId="77777777" w:rsidR="0099599B" w:rsidRDefault="0099599B">
            <w:pPr>
              <w:spacing w:after="0" w:line="240" w:lineRule="auto"/>
              <w:rPr>
                <w:rFonts w:eastAsia="Times New Roman"/>
                <w:kern w:val="0"/>
                <w:sz w:val="20"/>
                <w:szCs w:val="20"/>
                <w14:ligatures w14:val="none"/>
              </w:rPr>
            </w:pPr>
          </w:p>
        </w:tc>
      </w:tr>
      <w:tr w:rsidR="0099599B" w14:paraId="21479F3C" w14:textId="77777777">
        <w:trPr>
          <w:trHeight w:val="300"/>
        </w:trPr>
        <w:tc>
          <w:tcPr>
            <w:tcW w:w="6663" w:type="dxa"/>
            <w:shd w:val="clear" w:color="000000" w:fill="A9D08E"/>
            <w:noWrap/>
            <w:vAlign w:val="center"/>
          </w:tcPr>
          <w:p w14:paraId="5DDBF56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5A6236B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4D95968" w14:textId="77777777" w:rsidR="0099599B" w:rsidRDefault="0099599B">
            <w:pPr>
              <w:spacing w:after="0" w:line="240" w:lineRule="auto"/>
              <w:rPr>
                <w:rFonts w:eastAsia="Times New Roman"/>
                <w:kern w:val="0"/>
                <w:sz w:val="20"/>
                <w:szCs w:val="20"/>
                <w14:ligatures w14:val="none"/>
              </w:rPr>
            </w:pPr>
          </w:p>
        </w:tc>
      </w:tr>
      <w:tr w:rsidR="0099599B" w14:paraId="0BE40062" w14:textId="77777777">
        <w:trPr>
          <w:trHeight w:val="300"/>
        </w:trPr>
        <w:tc>
          <w:tcPr>
            <w:tcW w:w="6663" w:type="dxa"/>
            <w:shd w:val="clear" w:color="000000" w:fill="A9D08E"/>
            <w:noWrap/>
            <w:vAlign w:val="center"/>
          </w:tcPr>
          <w:p w14:paraId="53B479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4DB7E94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37CF587" w14:textId="77777777" w:rsidR="0099599B" w:rsidRDefault="0099599B">
            <w:pPr>
              <w:spacing w:after="0" w:line="240" w:lineRule="auto"/>
              <w:rPr>
                <w:rFonts w:eastAsia="Times New Roman"/>
                <w:kern w:val="0"/>
                <w:sz w:val="20"/>
                <w:szCs w:val="20"/>
                <w14:ligatures w14:val="none"/>
              </w:rPr>
            </w:pPr>
          </w:p>
        </w:tc>
      </w:tr>
      <w:tr w:rsidR="0099599B" w14:paraId="0946A74F" w14:textId="77777777">
        <w:trPr>
          <w:trHeight w:val="300"/>
        </w:trPr>
        <w:tc>
          <w:tcPr>
            <w:tcW w:w="6663" w:type="dxa"/>
            <w:shd w:val="clear" w:color="000000" w:fill="A9D08E"/>
            <w:noWrap/>
            <w:vAlign w:val="center"/>
          </w:tcPr>
          <w:p w14:paraId="44EF55E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Government Organisation</w:t>
            </w:r>
          </w:p>
        </w:tc>
        <w:tc>
          <w:tcPr>
            <w:tcW w:w="1814" w:type="dxa"/>
            <w:noWrap/>
            <w:vAlign w:val="center"/>
          </w:tcPr>
          <w:p w14:paraId="2CBEDEB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1724ED2" w14:textId="77777777" w:rsidR="0099599B" w:rsidRDefault="0099599B">
            <w:pPr>
              <w:spacing w:after="0" w:line="240" w:lineRule="auto"/>
              <w:rPr>
                <w:rFonts w:eastAsia="Times New Roman"/>
                <w:kern w:val="0"/>
                <w:sz w:val="20"/>
                <w:szCs w:val="20"/>
                <w14:ligatures w14:val="none"/>
              </w:rPr>
            </w:pPr>
          </w:p>
        </w:tc>
      </w:tr>
      <w:tr w:rsidR="0099599B" w14:paraId="04655753" w14:textId="77777777">
        <w:trPr>
          <w:trHeight w:val="300"/>
        </w:trPr>
        <w:tc>
          <w:tcPr>
            <w:tcW w:w="6663" w:type="dxa"/>
            <w:shd w:val="clear" w:color="000000" w:fill="A9D08E"/>
            <w:noWrap/>
            <w:vAlign w:val="center"/>
          </w:tcPr>
          <w:p w14:paraId="768D2D1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credit</w:t>
            </w:r>
          </w:p>
        </w:tc>
        <w:tc>
          <w:tcPr>
            <w:tcW w:w="1814" w:type="dxa"/>
            <w:noWrap/>
            <w:vAlign w:val="center"/>
          </w:tcPr>
          <w:p w14:paraId="21075EF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2D3DA2A" w14:textId="77777777" w:rsidR="0099599B" w:rsidRDefault="0099599B">
            <w:pPr>
              <w:spacing w:after="0" w:line="240" w:lineRule="auto"/>
              <w:rPr>
                <w:rFonts w:eastAsia="Times New Roman"/>
                <w:kern w:val="0"/>
                <w:sz w:val="20"/>
                <w:szCs w:val="20"/>
                <w14:ligatures w14:val="none"/>
              </w:rPr>
            </w:pPr>
          </w:p>
        </w:tc>
      </w:tr>
      <w:tr w:rsidR="0099599B" w14:paraId="589DFF37" w14:textId="77777777">
        <w:trPr>
          <w:trHeight w:val="300"/>
        </w:trPr>
        <w:tc>
          <w:tcPr>
            <w:tcW w:w="6663" w:type="dxa"/>
            <w:shd w:val="clear" w:color="000000" w:fill="A9D08E"/>
            <w:noWrap/>
            <w:vAlign w:val="center"/>
          </w:tcPr>
          <w:p w14:paraId="3ED3CB5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5E2DA22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7B367B3" w14:textId="77777777" w:rsidR="0099599B" w:rsidRDefault="0099599B">
            <w:pPr>
              <w:spacing w:after="0" w:line="240" w:lineRule="auto"/>
              <w:rPr>
                <w:rFonts w:eastAsia="Times New Roman"/>
                <w:kern w:val="0"/>
                <w:sz w:val="20"/>
                <w:szCs w:val="20"/>
                <w14:ligatures w14:val="none"/>
              </w:rPr>
            </w:pPr>
          </w:p>
        </w:tc>
      </w:tr>
      <w:tr w:rsidR="0099599B" w14:paraId="4B0B548A" w14:textId="77777777">
        <w:trPr>
          <w:trHeight w:val="300"/>
        </w:trPr>
        <w:tc>
          <w:tcPr>
            <w:tcW w:w="6663" w:type="dxa"/>
            <w:shd w:val="clear" w:color="000000" w:fill="A9D08E"/>
            <w:noWrap/>
            <w:vAlign w:val="center"/>
          </w:tcPr>
          <w:p w14:paraId="4054BBD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noWrap/>
            <w:vAlign w:val="center"/>
          </w:tcPr>
          <w:p w14:paraId="0DB81A2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AD01039" w14:textId="77777777" w:rsidR="0099599B" w:rsidRDefault="0099599B">
            <w:pPr>
              <w:spacing w:after="0" w:line="240" w:lineRule="auto"/>
              <w:rPr>
                <w:rFonts w:eastAsia="Times New Roman"/>
                <w:kern w:val="0"/>
                <w:sz w:val="20"/>
                <w:szCs w:val="20"/>
                <w14:ligatures w14:val="none"/>
              </w:rPr>
            </w:pPr>
          </w:p>
        </w:tc>
      </w:tr>
      <w:tr w:rsidR="0099599B" w14:paraId="72FE63F5" w14:textId="77777777">
        <w:trPr>
          <w:trHeight w:val="300"/>
        </w:trPr>
        <w:tc>
          <w:tcPr>
            <w:tcW w:w="6663" w:type="dxa"/>
            <w:shd w:val="clear" w:color="000000" w:fill="A9D08E"/>
            <w:noWrap/>
            <w:vAlign w:val="center"/>
          </w:tcPr>
          <w:p w14:paraId="0CB7197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associated with any Farmer Based Organization (FBO)</w:t>
            </w:r>
          </w:p>
        </w:tc>
        <w:tc>
          <w:tcPr>
            <w:tcW w:w="1814" w:type="dxa"/>
            <w:noWrap/>
            <w:vAlign w:val="center"/>
          </w:tcPr>
          <w:p w14:paraId="675889D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AAD3CB2" w14:textId="77777777" w:rsidR="0099599B" w:rsidRDefault="0099599B">
            <w:pPr>
              <w:spacing w:after="0" w:line="240" w:lineRule="auto"/>
              <w:rPr>
                <w:rFonts w:eastAsia="Times New Roman"/>
                <w:kern w:val="0"/>
                <w:sz w:val="20"/>
                <w:szCs w:val="20"/>
                <w14:ligatures w14:val="none"/>
              </w:rPr>
            </w:pPr>
          </w:p>
        </w:tc>
      </w:tr>
      <w:tr w:rsidR="0099599B" w14:paraId="7471FFE1" w14:textId="77777777">
        <w:trPr>
          <w:trHeight w:val="300"/>
        </w:trPr>
        <w:tc>
          <w:tcPr>
            <w:tcW w:w="6663" w:type="dxa"/>
            <w:shd w:val="clear" w:color="000000" w:fill="A9D08E"/>
            <w:noWrap/>
            <w:vAlign w:val="center"/>
          </w:tcPr>
          <w:p w14:paraId="244DB26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associated with any Agriculture Extention Agent (AEA)</w:t>
            </w:r>
          </w:p>
        </w:tc>
        <w:tc>
          <w:tcPr>
            <w:tcW w:w="1814" w:type="dxa"/>
            <w:noWrap/>
            <w:vAlign w:val="center"/>
          </w:tcPr>
          <w:p w14:paraId="53C1F1C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2647F3C" w14:textId="77777777" w:rsidR="0099599B" w:rsidRDefault="0099599B">
            <w:pPr>
              <w:spacing w:after="0" w:line="240" w:lineRule="auto"/>
              <w:rPr>
                <w:rFonts w:eastAsia="Times New Roman"/>
                <w:kern w:val="0"/>
                <w:sz w:val="20"/>
                <w:szCs w:val="20"/>
                <w14:ligatures w14:val="none"/>
              </w:rPr>
            </w:pPr>
          </w:p>
        </w:tc>
      </w:tr>
      <w:tr w:rsidR="0099599B" w14:paraId="4B14669A" w14:textId="77777777">
        <w:trPr>
          <w:trHeight w:val="300"/>
        </w:trPr>
        <w:tc>
          <w:tcPr>
            <w:tcW w:w="6663" w:type="dxa"/>
            <w:shd w:val="clear" w:color="000000" w:fill="A9D08E"/>
            <w:noWrap/>
            <w:vAlign w:val="center"/>
          </w:tcPr>
          <w:p w14:paraId="547247D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irrigation (rainfall dependent)</w:t>
            </w:r>
          </w:p>
        </w:tc>
        <w:tc>
          <w:tcPr>
            <w:tcW w:w="1814" w:type="dxa"/>
            <w:noWrap/>
            <w:vAlign w:val="center"/>
          </w:tcPr>
          <w:p w14:paraId="3F3AA23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76D66FA" w14:textId="77777777" w:rsidR="0099599B" w:rsidRDefault="0099599B">
            <w:pPr>
              <w:spacing w:after="0" w:line="240" w:lineRule="auto"/>
              <w:rPr>
                <w:rFonts w:eastAsia="Times New Roman"/>
                <w:kern w:val="0"/>
                <w:sz w:val="20"/>
                <w:szCs w:val="20"/>
                <w14:ligatures w14:val="none"/>
              </w:rPr>
            </w:pPr>
          </w:p>
        </w:tc>
      </w:tr>
      <w:tr w:rsidR="0099599B" w14:paraId="5E44C2C8" w14:textId="77777777">
        <w:trPr>
          <w:trHeight w:val="300"/>
        </w:trPr>
        <w:tc>
          <w:tcPr>
            <w:tcW w:w="6663" w:type="dxa"/>
            <w:shd w:val="clear" w:color="000000" w:fill="A9D08E"/>
            <w:noWrap/>
            <w:vAlign w:val="center"/>
          </w:tcPr>
          <w:p w14:paraId="68B0FD5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access to information on production methods and systems</w:t>
            </w:r>
          </w:p>
        </w:tc>
        <w:tc>
          <w:tcPr>
            <w:tcW w:w="1814" w:type="dxa"/>
            <w:noWrap/>
            <w:vAlign w:val="center"/>
          </w:tcPr>
          <w:p w14:paraId="68F47CF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66B5266" w14:textId="77777777" w:rsidR="0099599B" w:rsidRDefault="0099599B">
            <w:pPr>
              <w:spacing w:after="0" w:line="240" w:lineRule="auto"/>
              <w:rPr>
                <w:rFonts w:eastAsia="Times New Roman"/>
                <w:kern w:val="0"/>
                <w:sz w:val="20"/>
                <w:szCs w:val="20"/>
                <w14:ligatures w14:val="none"/>
              </w:rPr>
            </w:pPr>
          </w:p>
        </w:tc>
      </w:tr>
      <w:tr w:rsidR="0099599B" w14:paraId="4BF10B47" w14:textId="77777777">
        <w:trPr>
          <w:trHeight w:val="300"/>
        </w:trPr>
        <w:tc>
          <w:tcPr>
            <w:tcW w:w="6663" w:type="dxa"/>
            <w:shd w:val="clear" w:color="000000" w:fill="A9D08E"/>
            <w:noWrap/>
            <w:vAlign w:val="center"/>
          </w:tcPr>
          <w:p w14:paraId="0EF1678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knowledge about agricultural insurance</w:t>
            </w:r>
          </w:p>
        </w:tc>
        <w:tc>
          <w:tcPr>
            <w:tcW w:w="1814" w:type="dxa"/>
            <w:noWrap/>
            <w:vAlign w:val="center"/>
          </w:tcPr>
          <w:p w14:paraId="5E1E271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5CFB21E" w14:textId="77777777" w:rsidR="0099599B" w:rsidRDefault="0099599B">
            <w:pPr>
              <w:spacing w:after="0" w:line="240" w:lineRule="auto"/>
              <w:rPr>
                <w:rFonts w:eastAsia="Times New Roman"/>
                <w:kern w:val="0"/>
                <w:sz w:val="20"/>
                <w:szCs w:val="20"/>
                <w14:ligatures w14:val="none"/>
              </w:rPr>
            </w:pPr>
          </w:p>
        </w:tc>
      </w:tr>
      <w:tr w:rsidR="0099599B" w14:paraId="79F45DEE" w14:textId="77777777">
        <w:trPr>
          <w:trHeight w:val="300"/>
        </w:trPr>
        <w:tc>
          <w:tcPr>
            <w:tcW w:w="6663" w:type="dxa"/>
            <w:shd w:val="clear" w:color="000000" w:fill="A9D08E"/>
            <w:noWrap/>
            <w:vAlign w:val="center"/>
          </w:tcPr>
          <w:p w14:paraId="794A8F9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Size of farm (acres)</w:t>
            </w:r>
          </w:p>
        </w:tc>
        <w:tc>
          <w:tcPr>
            <w:tcW w:w="1814" w:type="dxa"/>
            <w:shd w:val="clear" w:color="000000" w:fill="FFC000"/>
            <w:noWrap/>
            <w:vAlign w:val="center"/>
          </w:tcPr>
          <w:p w14:paraId="3C7363CE"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31C8A87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30</w:t>
            </w:r>
          </w:p>
        </w:tc>
      </w:tr>
      <w:tr w:rsidR="0099599B" w14:paraId="71ACF709" w14:textId="77777777">
        <w:trPr>
          <w:trHeight w:val="300"/>
        </w:trPr>
        <w:tc>
          <w:tcPr>
            <w:tcW w:w="6663" w:type="dxa"/>
            <w:shd w:val="clear" w:color="000000" w:fill="A9D08E"/>
            <w:noWrap/>
            <w:vAlign w:val="center"/>
          </w:tcPr>
          <w:p w14:paraId="2EC47F3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noWrap/>
            <w:vAlign w:val="center"/>
          </w:tcPr>
          <w:p w14:paraId="4350BE9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BAC7263" w14:textId="77777777" w:rsidR="0099599B" w:rsidRDefault="0099599B">
            <w:pPr>
              <w:spacing w:after="0" w:line="240" w:lineRule="auto"/>
              <w:rPr>
                <w:rFonts w:eastAsia="Times New Roman"/>
                <w:kern w:val="0"/>
                <w:sz w:val="20"/>
                <w:szCs w:val="20"/>
                <w14:ligatures w14:val="none"/>
              </w:rPr>
            </w:pPr>
          </w:p>
        </w:tc>
      </w:tr>
      <w:tr w:rsidR="0099599B" w14:paraId="5DCEBA71" w14:textId="77777777">
        <w:trPr>
          <w:trHeight w:val="300"/>
        </w:trPr>
        <w:tc>
          <w:tcPr>
            <w:tcW w:w="6663" w:type="dxa"/>
            <w:shd w:val="clear" w:color="000000" w:fill="9BC2E6"/>
            <w:noWrap/>
            <w:vAlign w:val="center"/>
          </w:tcPr>
          <w:p w14:paraId="138E018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coastsl storm warnings</w:t>
            </w:r>
          </w:p>
        </w:tc>
        <w:tc>
          <w:tcPr>
            <w:tcW w:w="1814" w:type="dxa"/>
            <w:noWrap/>
            <w:vAlign w:val="center"/>
          </w:tcPr>
          <w:p w14:paraId="49DCF87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3D360E4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3214CD3F" w14:textId="77777777">
        <w:trPr>
          <w:trHeight w:val="300"/>
        </w:trPr>
        <w:tc>
          <w:tcPr>
            <w:tcW w:w="6663" w:type="dxa"/>
            <w:shd w:val="clear" w:color="000000" w:fill="9BC2E6"/>
            <w:noWrap/>
            <w:vAlign w:val="center"/>
          </w:tcPr>
          <w:p w14:paraId="5ED37C8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 km or less from shoreline</w:t>
            </w:r>
          </w:p>
        </w:tc>
        <w:tc>
          <w:tcPr>
            <w:tcW w:w="1814" w:type="dxa"/>
            <w:noWrap/>
            <w:vAlign w:val="center"/>
          </w:tcPr>
          <w:p w14:paraId="725D546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17CF6CD" w14:textId="77777777" w:rsidR="0099599B" w:rsidRDefault="0099599B">
            <w:pPr>
              <w:spacing w:after="0" w:line="240" w:lineRule="auto"/>
              <w:rPr>
                <w:rFonts w:eastAsia="Times New Roman"/>
                <w:kern w:val="0"/>
                <w:sz w:val="20"/>
                <w:szCs w:val="20"/>
                <w14:ligatures w14:val="none"/>
              </w:rPr>
            </w:pPr>
          </w:p>
        </w:tc>
      </w:tr>
      <w:tr w:rsidR="0099599B" w14:paraId="234CE579" w14:textId="77777777">
        <w:trPr>
          <w:trHeight w:val="300"/>
        </w:trPr>
        <w:tc>
          <w:tcPr>
            <w:tcW w:w="6663" w:type="dxa"/>
            <w:shd w:val="clear" w:color="000000" w:fill="9BC2E6"/>
            <w:noWrap/>
            <w:vAlign w:val="center"/>
          </w:tcPr>
          <w:p w14:paraId="6312BB4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60A6C25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87B0A73" w14:textId="77777777" w:rsidR="0099599B" w:rsidRDefault="0099599B">
            <w:pPr>
              <w:spacing w:after="0" w:line="240" w:lineRule="auto"/>
              <w:rPr>
                <w:rFonts w:eastAsia="Times New Roman"/>
                <w:kern w:val="0"/>
                <w:sz w:val="20"/>
                <w:szCs w:val="20"/>
                <w14:ligatures w14:val="none"/>
              </w:rPr>
            </w:pPr>
          </w:p>
        </w:tc>
      </w:tr>
      <w:tr w:rsidR="0099599B" w14:paraId="3E65F6B8" w14:textId="77777777">
        <w:trPr>
          <w:trHeight w:val="300"/>
        </w:trPr>
        <w:tc>
          <w:tcPr>
            <w:tcW w:w="6663" w:type="dxa"/>
            <w:shd w:val="clear" w:color="000000" w:fill="BDD7EE"/>
            <w:noWrap/>
            <w:vAlign w:val="center"/>
          </w:tcPr>
          <w:p w14:paraId="580C2AF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whose houses or infrastructure been damanged by flood, erosion or strong winds in the past 5 years</w:t>
            </w:r>
          </w:p>
        </w:tc>
        <w:tc>
          <w:tcPr>
            <w:tcW w:w="1814" w:type="dxa"/>
            <w:noWrap/>
            <w:vAlign w:val="center"/>
          </w:tcPr>
          <w:p w14:paraId="65DA62E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Infrastructure for DRR</w:t>
            </w:r>
          </w:p>
        </w:tc>
        <w:tc>
          <w:tcPr>
            <w:tcW w:w="1041" w:type="dxa"/>
            <w:noWrap/>
            <w:vAlign w:val="center"/>
          </w:tcPr>
          <w:p w14:paraId="061067A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5D4A97FC" w14:textId="77777777">
        <w:trPr>
          <w:trHeight w:val="300"/>
        </w:trPr>
        <w:tc>
          <w:tcPr>
            <w:tcW w:w="6663" w:type="dxa"/>
            <w:shd w:val="clear" w:color="000000" w:fill="BDD7EE"/>
            <w:noWrap/>
            <w:vAlign w:val="center"/>
          </w:tcPr>
          <w:p w14:paraId="68B6C46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road block or unusable roads during rains</w:t>
            </w:r>
          </w:p>
        </w:tc>
        <w:tc>
          <w:tcPr>
            <w:tcW w:w="1814" w:type="dxa"/>
            <w:noWrap/>
            <w:vAlign w:val="center"/>
          </w:tcPr>
          <w:p w14:paraId="4698F81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5732475" w14:textId="77777777" w:rsidR="0099599B" w:rsidRDefault="0099599B">
            <w:pPr>
              <w:spacing w:after="0" w:line="240" w:lineRule="auto"/>
              <w:rPr>
                <w:rFonts w:eastAsia="Times New Roman"/>
                <w:kern w:val="0"/>
                <w:sz w:val="20"/>
                <w:szCs w:val="20"/>
                <w14:ligatures w14:val="none"/>
              </w:rPr>
            </w:pPr>
          </w:p>
        </w:tc>
      </w:tr>
      <w:tr w:rsidR="0099599B" w14:paraId="16D6114C" w14:textId="77777777">
        <w:trPr>
          <w:trHeight w:val="300"/>
        </w:trPr>
        <w:tc>
          <w:tcPr>
            <w:tcW w:w="6663" w:type="dxa"/>
            <w:shd w:val="clear" w:color="000000" w:fill="BDD7EE"/>
            <w:noWrap/>
            <w:vAlign w:val="center"/>
          </w:tcPr>
          <w:p w14:paraId="11B5859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disaster resilient infrastructure</w:t>
            </w:r>
          </w:p>
        </w:tc>
        <w:tc>
          <w:tcPr>
            <w:tcW w:w="1814" w:type="dxa"/>
            <w:noWrap/>
            <w:vAlign w:val="center"/>
          </w:tcPr>
          <w:p w14:paraId="7BD228D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876F65C" w14:textId="77777777" w:rsidR="0099599B" w:rsidRDefault="0099599B">
            <w:pPr>
              <w:spacing w:after="0" w:line="240" w:lineRule="auto"/>
              <w:rPr>
                <w:rFonts w:eastAsia="Times New Roman"/>
                <w:kern w:val="0"/>
                <w:sz w:val="20"/>
                <w:szCs w:val="20"/>
                <w14:ligatures w14:val="none"/>
              </w:rPr>
            </w:pPr>
          </w:p>
        </w:tc>
      </w:tr>
      <w:tr w:rsidR="0099599B" w14:paraId="7BE1545C" w14:textId="77777777">
        <w:trPr>
          <w:trHeight w:val="300"/>
        </w:trPr>
        <w:tc>
          <w:tcPr>
            <w:tcW w:w="6663" w:type="dxa"/>
            <w:shd w:val="clear" w:color="000000" w:fill="BDD7EE"/>
            <w:noWrap/>
            <w:vAlign w:val="center"/>
          </w:tcPr>
          <w:p w14:paraId="2D625D5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ready market</w:t>
            </w:r>
          </w:p>
        </w:tc>
        <w:tc>
          <w:tcPr>
            <w:tcW w:w="1814" w:type="dxa"/>
            <w:noWrap/>
            <w:vAlign w:val="center"/>
          </w:tcPr>
          <w:p w14:paraId="31A3861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95BA54C" w14:textId="77777777" w:rsidR="0099599B" w:rsidRDefault="0099599B">
            <w:pPr>
              <w:spacing w:after="0" w:line="240" w:lineRule="auto"/>
              <w:rPr>
                <w:rFonts w:eastAsia="Times New Roman"/>
                <w:kern w:val="0"/>
                <w:sz w:val="20"/>
                <w:szCs w:val="20"/>
                <w14:ligatures w14:val="none"/>
              </w:rPr>
            </w:pPr>
          </w:p>
        </w:tc>
      </w:tr>
      <w:tr w:rsidR="0099599B" w14:paraId="46A5304C" w14:textId="77777777">
        <w:trPr>
          <w:trHeight w:val="300"/>
        </w:trPr>
        <w:tc>
          <w:tcPr>
            <w:tcW w:w="6663" w:type="dxa"/>
            <w:shd w:val="clear" w:color="000000" w:fill="BDD7EE"/>
            <w:noWrap/>
            <w:vAlign w:val="center"/>
          </w:tcPr>
          <w:p w14:paraId="0E6E420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good road network</w:t>
            </w:r>
          </w:p>
        </w:tc>
        <w:tc>
          <w:tcPr>
            <w:tcW w:w="1814" w:type="dxa"/>
            <w:noWrap/>
            <w:vAlign w:val="center"/>
          </w:tcPr>
          <w:p w14:paraId="36E738D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F7C8272" w14:textId="77777777" w:rsidR="0099599B" w:rsidRDefault="0099599B">
            <w:pPr>
              <w:spacing w:after="0" w:line="240" w:lineRule="auto"/>
              <w:rPr>
                <w:rFonts w:eastAsia="Times New Roman"/>
                <w:kern w:val="0"/>
                <w:sz w:val="20"/>
                <w:szCs w:val="20"/>
                <w14:ligatures w14:val="none"/>
              </w:rPr>
            </w:pPr>
          </w:p>
        </w:tc>
      </w:tr>
      <w:tr w:rsidR="0099599B" w14:paraId="10733874" w14:textId="77777777">
        <w:trPr>
          <w:trHeight w:val="300"/>
        </w:trPr>
        <w:tc>
          <w:tcPr>
            <w:tcW w:w="6663" w:type="dxa"/>
            <w:shd w:val="clear" w:color="000000" w:fill="5B9BD5"/>
            <w:noWrap/>
            <w:vAlign w:val="center"/>
          </w:tcPr>
          <w:p w14:paraId="4A3AA82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 health facility in their communities</w:t>
            </w:r>
          </w:p>
        </w:tc>
        <w:tc>
          <w:tcPr>
            <w:tcW w:w="1814" w:type="dxa"/>
            <w:noWrap/>
            <w:vAlign w:val="center"/>
          </w:tcPr>
          <w:p w14:paraId="4750CFA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Health services for DRR</w:t>
            </w:r>
          </w:p>
        </w:tc>
        <w:tc>
          <w:tcPr>
            <w:tcW w:w="1041" w:type="dxa"/>
            <w:noWrap/>
            <w:vAlign w:val="center"/>
          </w:tcPr>
          <w:p w14:paraId="023A44E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1DDEEBBC" w14:textId="77777777">
        <w:trPr>
          <w:trHeight w:val="300"/>
        </w:trPr>
        <w:tc>
          <w:tcPr>
            <w:tcW w:w="6663" w:type="dxa"/>
            <w:shd w:val="clear" w:color="000000" w:fill="5B9BD5"/>
            <w:noWrap/>
            <w:vAlign w:val="center"/>
          </w:tcPr>
          <w:p w14:paraId="2F49736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Minutes of travel to the nearest health facilities</w:t>
            </w:r>
          </w:p>
        </w:tc>
        <w:tc>
          <w:tcPr>
            <w:tcW w:w="1814" w:type="dxa"/>
            <w:noWrap/>
            <w:vAlign w:val="center"/>
          </w:tcPr>
          <w:p w14:paraId="2FDC851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9EB95CF" w14:textId="77777777" w:rsidR="0099599B" w:rsidRDefault="0099599B">
            <w:pPr>
              <w:spacing w:after="0" w:line="240" w:lineRule="auto"/>
              <w:rPr>
                <w:rFonts w:eastAsia="Times New Roman"/>
                <w:kern w:val="0"/>
                <w:sz w:val="20"/>
                <w:szCs w:val="20"/>
                <w14:ligatures w14:val="none"/>
              </w:rPr>
            </w:pPr>
          </w:p>
        </w:tc>
      </w:tr>
      <w:tr w:rsidR="0099599B" w14:paraId="2E635FDE" w14:textId="77777777">
        <w:trPr>
          <w:trHeight w:val="300"/>
        </w:trPr>
        <w:tc>
          <w:tcPr>
            <w:tcW w:w="6663" w:type="dxa"/>
            <w:shd w:val="clear" w:color="000000" w:fill="5B9BD5"/>
            <w:noWrap/>
            <w:vAlign w:val="center"/>
          </w:tcPr>
          <w:p w14:paraId="0C06545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health facilities in the community</w:t>
            </w:r>
          </w:p>
        </w:tc>
        <w:tc>
          <w:tcPr>
            <w:tcW w:w="1814" w:type="dxa"/>
            <w:noWrap/>
            <w:vAlign w:val="center"/>
          </w:tcPr>
          <w:p w14:paraId="69DEDE5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60524D9" w14:textId="77777777" w:rsidR="0099599B" w:rsidRDefault="0099599B">
            <w:pPr>
              <w:spacing w:after="0" w:line="240" w:lineRule="auto"/>
              <w:rPr>
                <w:rFonts w:eastAsia="Times New Roman"/>
                <w:kern w:val="0"/>
                <w:sz w:val="20"/>
                <w:szCs w:val="20"/>
                <w14:ligatures w14:val="none"/>
              </w:rPr>
            </w:pPr>
          </w:p>
        </w:tc>
      </w:tr>
      <w:tr w:rsidR="0099599B" w14:paraId="4E74F793" w14:textId="77777777">
        <w:trPr>
          <w:trHeight w:val="300"/>
        </w:trPr>
        <w:tc>
          <w:tcPr>
            <w:tcW w:w="6663" w:type="dxa"/>
            <w:shd w:val="clear" w:color="000000" w:fill="ACB9CA"/>
            <w:noWrap/>
            <w:vAlign w:val="center"/>
          </w:tcPr>
          <w:p w14:paraId="3561829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safe sanitation services</w:t>
            </w:r>
          </w:p>
        </w:tc>
        <w:tc>
          <w:tcPr>
            <w:tcW w:w="1814" w:type="dxa"/>
            <w:noWrap/>
            <w:vAlign w:val="center"/>
          </w:tcPr>
          <w:p w14:paraId="78DCBF5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Sanitation</w:t>
            </w:r>
          </w:p>
        </w:tc>
        <w:tc>
          <w:tcPr>
            <w:tcW w:w="1041" w:type="dxa"/>
            <w:noWrap/>
            <w:vAlign w:val="center"/>
          </w:tcPr>
          <w:p w14:paraId="47A63611"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58B16A94" w14:textId="77777777">
        <w:trPr>
          <w:trHeight w:val="300"/>
        </w:trPr>
        <w:tc>
          <w:tcPr>
            <w:tcW w:w="6663" w:type="dxa"/>
            <w:shd w:val="clear" w:color="000000" w:fill="ACB9CA"/>
            <w:noWrap/>
            <w:vAlign w:val="center"/>
          </w:tcPr>
          <w:p w14:paraId="784AB49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public toilet facilitites in the community</w:t>
            </w:r>
          </w:p>
        </w:tc>
        <w:tc>
          <w:tcPr>
            <w:tcW w:w="1814" w:type="dxa"/>
            <w:noWrap/>
            <w:vAlign w:val="center"/>
          </w:tcPr>
          <w:p w14:paraId="64FEFE2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5696E19" w14:textId="77777777" w:rsidR="0099599B" w:rsidRDefault="0099599B">
            <w:pPr>
              <w:spacing w:after="0" w:line="240" w:lineRule="auto"/>
              <w:rPr>
                <w:rFonts w:eastAsia="Times New Roman"/>
                <w:kern w:val="0"/>
                <w:sz w:val="20"/>
                <w:szCs w:val="20"/>
                <w14:ligatures w14:val="none"/>
              </w:rPr>
            </w:pPr>
          </w:p>
        </w:tc>
      </w:tr>
      <w:tr w:rsidR="0099599B" w14:paraId="5E92EB68" w14:textId="77777777">
        <w:trPr>
          <w:trHeight w:val="300"/>
        </w:trPr>
        <w:tc>
          <w:tcPr>
            <w:tcW w:w="6663" w:type="dxa"/>
            <w:shd w:val="clear" w:color="000000" w:fill="ACB9CA"/>
            <w:noWrap/>
            <w:vAlign w:val="center"/>
          </w:tcPr>
          <w:p w14:paraId="2952A42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training/sensitization on climate related diseases</w:t>
            </w:r>
          </w:p>
        </w:tc>
        <w:tc>
          <w:tcPr>
            <w:tcW w:w="1814" w:type="dxa"/>
            <w:noWrap/>
            <w:vAlign w:val="center"/>
          </w:tcPr>
          <w:p w14:paraId="626F633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63D73DE" w14:textId="77777777" w:rsidR="0099599B" w:rsidRDefault="0099599B">
            <w:pPr>
              <w:spacing w:after="0" w:line="240" w:lineRule="auto"/>
              <w:rPr>
                <w:rFonts w:eastAsia="Times New Roman"/>
                <w:kern w:val="0"/>
                <w:sz w:val="20"/>
                <w:szCs w:val="20"/>
                <w14:ligatures w14:val="none"/>
              </w:rPr>
            </w:pPr>
          </w:p>
        </w:tc>
      </w:tr>
      <w:tr w:rsidR="0099599B" w14:paraId="22596AE7" w14:textId="77777777">
        <w:trPr>
          <w:trHeight w:val="300"/>
        </w:trPr>
        <w:tc>
          <w:tcPr>
            <w:tcW w:w="6663" w:type="dxa"/>
            <w:shd w:val="clear" w:color="000000" w:fill="B4C6E7"/>
            <w:noWrap/>
            <w:vAlign w:val="center"/>
          </w:tcPr>
          <w:p w14:paraId="455DD3D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 dealing with persistent water source unavailability</w:t>
            </w:r>
          </w:p>
        </w:tc>
        <w:tc>
          <w:tcPr>
            <w:tcW w:w="1814" w:type="dxa"/>
            <w:noWrap/>
            <w:vAlign w:val="center"/>
          </w:tcPr>
          <w:p w14:paraId="3B95B26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Water servicces for DRR</w:t>
            </w:r>
          </w:p>
        </w:tc>
        <w:tc>
          <w:tcPr>
            <w:tcW w:w="1041" w:type="dxa"/>
            <w:noWrap/>
            <w:vAlign w:val="center"/>
          </w:tcPr>
          <w:p w14:paraId="78E91F0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50C71A79" w14:textId="77777777">
        <w:trPr>
          <w:trHeight w:val="300"/>
        </w:trPr>
        <w:tc>
          <w:tcPr>
            <w:tcW w:w="6663" w:type="dxa"/>
            <w:shd w:val="clear" w:color="000000" w:fill="B4C6E7"/>
            <w:noWrap/>
            <w:vAlign w:val="center"/>
          </w:tcPr>
          <w:p w14:paraId="5B66DB7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potable water</w:t>
            </w:r>
          </w:p>
        </w:tc>
        <w:tc>
          <w:tcPr>
            <w:tcW w:w="1814" w:type="dxa"/>
            <w:noWrap/>
            <w:vAlign w:val="center"/>
          </w:tcPr>
          <w:p w14:paraId="13FF0D6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AB1C45E" w14:textId="77777777" w:rsidR="0099599B" w:rsidRDefault="0099599B">
            <w:pPr>
              <w:spacing w:after="0" w:line="240" w:lineRule="auto"/>
              <w:rPr>
                <w:rFonts w:eastAsia="Times New Roman"/>
                <w:kern w:val="0"/>
                <w:sz w:val="20"/>
                <w:szCs w:val="20"/>
                <w14:ligatures w14:val="none"/>
              </w:rPr>
            </w:pPr>
          </w:p>
        </w:tc>
      </w:tr>
      <w:tr w:rsidR="0099599B" w14:paraId="1EB8AEDA" w14:textId="77777777">
        <w:trPr>
          <w:trHeight w:val="300"/>
        </w:trPr>
        <w:tc>
          <w:tcPr>
            <w:tcW w:w="6663" w:type="dxa"/>
            <w:shd w:val="clear" w:color="000000" w:fill="00B0F0"/>
            <w:noWrap/>
            <w:vAlign w:val="center"/>
          </w:tcPr>
          <w:p w14:paraId="014F630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Not aware of climate driven risks </w:t>
            </w:r>
          </w:p>
        </w:tc>
        <w:tc>
          <w:tcPr>
            <w:tcW w:w="1814" w:type="dxa"/>
            <w:noWrap/>
            <w:vAlign w:val="center"/>
          </w:tcPr>
          <w:p w14:paraId="5D960F6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DRR</w:t>
            </w:r>
          </w:p>
        </w:tc>
        <w:tc>
          <w:tcPr>
            <w:tcW w:w="1041" w:type="dxa"/>
            <w:noWrap/>
            <w:vAlign w:val="center"/>
          </w:tcPr>
          <w:p w14:paraId="60D9CDCA"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47A595AB" w14:textId="77777777">
        <w:trPr>
          <w:trHeight w:val="300"/>
        </w:trPr>
        <w:tc>
          <w:tcPr>
            <w:tcW w:w="6663" w:type="dxa"/>
            <w:shd w:val="clear" w:color="000000" w:fill="00B0F0"/>
            <w:noWrap/>
            <w:vAlign w:val="center"/>
          </w:tcPr>
          <w:p w14:paraId="2E18AD5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who received no warnings to extreme weather</w:t>
            </w:r>
          </w:p>
        </w:tc>
        <w:tc>
          <w:tcPr>
            <w:tcW w:w="1814" w:type="dxa"/>
            <w:noWrap/>
            <w:vAlign w:val="center"/>
          </w:tcPr>
          <w:p w14:paraId="03BE119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DB659F3" w14:textId="77777777" w:rsidR="0099599B" w:rsidRDefault="0099599B">
            <w:pPr>
              <w:spacing w:after="0" w:line="240" w:lineRule="auto"/>
              <w:rPr>
                <w:rFonts w:eastAsia="Times New Roman"/>
                <w:kern w:val="0"/>
                <w:sz w:val="20"/>
                <w:szCs w:val="20"/>
                <w14:ligatures w14:val="none"/>
              </w:rPr>
            </w:pPr>
          </w:p>
        </w:tc>
      </w:tr>
      <w:tr w:rsidR="0099599B" w14:paraId="10FAAF38" w14:textId="77777777">
        <w:trPr>
          <w:trHeight w:val="300"/>
        </w:trPr>
        <w:tc>
          <w:tcPr>
            <w:tcW w:w="6663" w:type="dxa"/>
            <w:shd w:val="clear" w:color="000000" w:fill="00B0F0"/>
            <w:noWrap/>
            <w:vAlign w:val="center"/>
          </w:tcPr>
          <w:p w14:paraId="366BAB8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does not recieve information of weather information for your communication devices</w:t>
            </w:r>
          </w:p>
        </w:tc>
        <w:tc>
          <w:tcPr>
            <w:tcW w:w="1814" w:type="dxa"/>
            <w:shd w:val="clear" w:color="000000" w:fill="FFC000"/>
            <w:noWrap/>
            <w:vAlign w:val="center"/>
          </w:tcPr>
          <w:p w14:paraId="5B9FE475"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200C3FDC"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19</w:t>
            </w:r>
          </w:p>
        </w:tc>
      </w:tr>
      <w:tr w:rsidR="0099599B" w14:paraId="3320F577" w14:textId="77777777">
        <w:trPr>
          <w:trHeight w:val="300"/>
        </w:trPr>
        <w:tc>
          <w:tcPr>
            <w:tcW w:w="6663" w:type="dxa"/>
            <w:shd w:val="clear" w:color="000000" w:fill="00B0F0"/>
            <w:noWrap/>
            <w:vAlign w:val="center"/>
          </w:tcPr>
          <w:p w14:paraId="7C20B81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w:t>
            </w:r>
          </w:p>
        </w:tc>
        <w:tc>
          <w:tcPr>
            <w:tcW w:w="1814" w:type="dxa"/>
            <w:noWrap/>
            <w:vAlign w:val="center"/>
          </w:tcPr>
          <w:p w14:paraId="0E42D51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4F4EC7B" w14:textId="77777777" w:rsidR="0099599B" w:rsidRDefault="0099599B">
            <w:pPr>
              <w:spacing w:after="0" w:line="240" w:lineRule="auto"/>
              <w:rPr>
                <w:rFonts w:eastAsia="Times New Roman"/>
                <w:kern w:val="0"/>
                <w:sz w:val="20"/>
                <w:szCs w:val="20"/>
                <w14:ligatures w14:val="none"/>
              </w:rPr>
            </w:pPr>
          </w:p>
        </w:tc>
      </w:tr>
      <w:tr w:rsidR="0099599B" w14:paraId="5691D0ED" w14:textId="77777777">
        <w:trPr>
          <w:trHeight w:val="300"/>
        </w:trPr>
        <w:tc>
          <w:tcPr>
            <w:tcW w:w="6663" w:type="dxa"/>
            <w:shd w:val="clear" w:color="000000" w:fill="F8CBAD"/>
            <w:noWrap/>
            <w:vAlign w:val="center"/>
          </w:tcPr>
          <w:p w14:paraId="1275945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43C8E41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0CE20977"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w:t>
            </w:r>
          </w:p>
        </w:tc>
      </w:tr>
      <w:tr w:rsidR="0099599B" w14:paraId="1D453F69" w14:textId="77777777">
        <w:trPr>
          <w:trHeight w:val="300"/>
        </w:trPr>
        <w:tc>
          <w:tcPr>
            <w:tcW w:w="6663" w:type="dxa"/>
            <w:shd w:val="clear" w:color="000000" w:fill="F8CBAD"/>
            <w:noWrap/>
            <w:vAlign w:val="center"/>
          </w:tcPr>
          <w:p w14:paraId="330904D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7C0C7A4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5BC20DC" w14:textId="77777777" w:rsidR="0099599B" w:rsidRDefault="0099599B">
            <w:pPr>
              <w:spacing w:after="0" w:line="240" w:lineRule="auto"/>
              <w:rPr>
                <w:rFonts w:eastAsia="Times New Roman"/>
                <w:kern w:val="0"/>
                <w:sz w:val="20"/>
                <w:szCs w:val="20"/>
                <w14:ligatures w14:val="none"/>
              </w:rPr>
            </w:pPr>
          </w:p>
        </w:tc>
      </w:tr>
      <w:tr w:rsidR="0099599B" w14:paraId="72764BEE" w14:textId="77777777">
        <w:trPr>
          <w:trHeight w:val="300"/>
        </w:trPr>
        <w:tc>
          <w:tcPr>
            <w:tcW w:w="6663" w:type="dxa"/>
            <w:shd w:val="clear" w:color="000000" w:fill="F8CBAD"/>
            <w:noWrap/>
            <w:vAlign w:val="center"/>
          </w:tcPr>
          <w:p w14:paraId="049E6E6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farms in flood prone areas</w:t>
            </w:r>
          </w:p>
        </w:tc>
        <w:tc>
          <w:tcPr>
            <w:tcW w:w="1814" w:type="dxa"/>
            <w:noWrap/>
            <w:vAlign w:val="center"/>
          </w:tcPr>
          <w:p w14:paraId="4CFEDF7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8CF4426" w14:textId="77777777" w:rsidR="0099599B" w:rsidRDefault="0099599B">
            <w:pPr>
              <w:spacing w:after="0" w:line="240" w:lineRule="auto"/>
              <w:rPr>
                <w:rFonts w:eastAsia="Times New Roman"/>
                <w:kern w:val="0"/>
                <w:sz w:val="20"/>
                <w:szCs w:val="20"/>
                <w14:ligatures w14:val="none"/>
              </w:rPr>
            </w:pPr>
          </w:p>
        </w:tc>
      </w:tr>
      <w:tr w:rsidR="0099599B" w14:paraId="013073B5" w14:textId="77777777">
        <w:trPr>
          <w:trHeight w:val="300"/>
        </w:trPr>
        <w:tc>
          <w:tcPr>
            <w:tcW w:w="6663" w:type="dxa"/>
            <w:shd w:val="clear" w:color="000000" w:fill="F8CBAD"/>
            <w:noWrap/>
            <w:vAlign w:val="center"/>
          </w:tcPr>
          <w:p w14:paraId="3F4BD96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service businesses in flood prone areas</w:t>
            </w:r>
          </w:p>
        </w:tc>
        <w:tc>
          <w:tcPr>
            <w:tcW w:w="1814" w:type="dxa"/>
            <w:noWrap/>
            <w:vAlign w:val="center"/>
          </w:tcPr>
          <w:p w14:paraId="5BE02CA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21D82D1" w14:textId="77777777" w:rsidR="0099599B" w:rsidRDefault="0099599B">
            <w:pPr>
              <w:spacing w:after="0" w:line="240" w:lineRule="auto"/>
              <w:rPr>
                <w:rFonts w:eastAsia="Times New Roman"/>
                <w:kern w:val="0"/>
                <w:sz w:val="20"/>
                <w:szCs w:val="20"/>
                <w14:ligatures w14:val="none"/>
              </w:rPr>
            </w:pPr>
          </w:p>
        </w:tc>
      </w:tr>
      <w:tr w:rsidR="0099599B" w14:paraId="5EDD868F" w14:textId="77777777">
        <w:trPr>
          <w:trHeight w:val="300"/>
        </w:trPr>
        <w:tc>
          <w:tcPr>
            <w:tcW w:w="6663" w:type="dxa"/>
            <w:shd w:val="clear" w:color="000000" w:fill="F8CBAD"/>
            <w:noWrap/>
            <w:vAlign w:val="center"/>
          </w:tcPr>
          <w:p w14:paraId="3AD389D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forest pest and disease outbreak</w:t>
            </w:r>
          </w:p>
        </w:tc>
        <w:tc>
          <w:tcPr>
            <w:tcW w:w="1814" w:type="dxa"/>
            <w:noWrap/>
            <w:vAlign w:val="center"/>
          </w:tcPr>
          <w:p w14:paraId="605B176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19EA99C" w14:textId="77777777" w:rsidR="0099599B" w:rsidRDefault="0099599B">
            <w:pPr>
              <w:spacing w:after="0" w:line="240" w:lineRule="auto"/>
              <w:rPr>
                <w:rFonts w:eastAsia="Times New Roman"/>
                <w:kern w:val="0"/>
                <w:sz w:val="20"/>
                <w:szCs w:val="20"/>
                <w14:ligatures w14:val="none"/>
              </w:rPr>
            </w:pPr>
          </w:p>
        </w:tc>
      </w:tr>
      <w:tr w:rsidR="0099599B" w14:paraId="191917C6" w14:textId="77777777">
        <w:trPr>
          <w:trHeight w:val="300"/>
        </w:trPr>
        <w:tc>
          <w:tcPr>
            <w:tcW w:w="6663" w:type="dxa"/>
            <w:shd w:val="clear" w:color="000000" w:fill="F8CBAD"/>
            <w:noWrap/>
            <w:vAlign w:val="center"/>
          </w:tcPr>
          <w:p w14:paraId="7380015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Number of forest fires  have occurred in this community since 10 years ago </w:t>
            </w:r>
          </w:p>
        </w:tc>
        <w:tc>
          <w:tcPr>
            <w:tcW w:w="1814" w:type="dxa"/>
            <w:noWrap/>
            <w:vAlign w:val="center"/>
          </w:tcPr>
          <w:p w14:paraId="10BFC42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7D45DA4" w14:textId="77777777" w:rsidR="0099599B" w:rsidRDefault="0099599B">
            <w:pPr>
              <w:spacing w:after="0" w:line="240" w:lineRule="auto"/>
              <w:rPr>
                <w:rFonts w:eastAsia="Times New Roman"/>
                <w:kern w:val="0"/>
                <w:sz w:val="20"/>
                <w:szCs w:val="20"/>
                <w14:ligatures w14:val="none"/>
              </w:rPr>
            </w:pPr>
          </w:p>
        </w:tc>
      </w:tr>
      <w:tr w:rsidR="0099599B" w14:paraId="36B6B323" w14:textId="77777777">
        <w:trPr>
          <w:trHeight w:val="300"/>
        </w:trPr>
        <w:tc>
          <w:tcPr>
            <w:tcW w:w="6663" w:type="dxa"/>
            <w:shd w:val="clear" w:color="000000" w:fill="F8CBAD"/>
            <w:noWrap/>
            <w:vAlign w:val="center"/>
          </w:tcPr>
          <w:p w14:paraId="72B1CD6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2A23189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F73C0C3" w14:textId="77777777" w:rsidR="0099599B" w:rsidRDefault="0099599B">
            <w:pPr>
              <w:spacing w:after="0" w:line="240" w:lineRule="auto"/>
              <w:rPr>
                <w:rFonts w:eastAsia="Times New Roman"/>
                <w:kern w:val="0"/>
                <w:sz w:val="20"/>
                <w:szCs w:val="20"/>
                <w14:ligatures w14:val="none"/>
              </w:rPr>
            </w:pPr>
          </w:p>
        </w:tc>
      </w:tr>
      <w:tr w:rsidR="0099599B" w14:paraId="70982267" w14:textId="77777777">
        <w:trPr>
          <w:trHeight w:val="300"/>
        </w:trPr>
        <w:tc>
          <w:tcPr>
            <w:tcW w:w="6663" w:type="dxa"/>
            <w:shd w:val="clear" w:color="000000" w:fill="F8CBAD"/>
            <w:noWrap/>
            <w:vAlign w:val="center"/>
          </w:tcPr>
          <w:p w14:paraId="1A03055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00F0498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D4163A3" w14:textId="77777777" w:rsidR="0099599B" w:rsidRDefault="0099599B">
            <w:pPr>
              <w:spacing w:after="0" w:line="240" w:lineRule="auto"/>
              <w:rPr>
                <w:rFonts w:eastAsia="Times New Roman"/>
                <w:kern w:val="0"/>
                <w:sz w:val="20"/>
                <w:szCs w:val="20"/>
                <w14:ligatures w14:val="none"/>
              </w:rPr>
            </w:pPr>
          </w:p>
        </w:tc>
      </w:tr>
      <w:tr w:rsidR="0099599B" w14:paraId="382BE0EE" w14:textId="77777777">
        <w:trPr>
          <w:trHeight w:val="300"/>
        </w:trPr>
        <w:tc>
          <w:tcPr>
            <w:tcW w:w="6663" w:type="dxa"/>
            <w:shd w:val="clear" w:color="000000" w:fill="F8CBAD"/>
            <w:noWrap/>
            <w:vAlign w:val="center"/>
          </w:tcPr>
          <w:p w14:paraId="176CCBF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43DA367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5689514" w14:textId="77777777" w:rsidR="0099599B" w:rsidRDefault="0099599B">
            <w:pPr>
              <w:spacing w:after="0" w:line="240" w:lineRule="auto"/>
              <w:rPr>
                <w:rFonts w:eastAsia="Times New Roman"/>
                <w:kern w:val="0"/>
                <w:sz w:val="20"/>
                <w:szCs w:val="20"/>
                <w14:ligatures w14:val="none"/>
              </w:rPr>
            </w:pPr>
          </w:p>
        </w:tc>
      </w:tr>
      <w:tr w:rsidR="0099599B" w14:paraId="53A1AFC2" w14:textId="77777777">
        <w:trPr>
          <w:trHeight w:val="300"/>
        </w:trPr>
        <w:tc>
          <w:tcPr>
            <w:tcW w:w="6663" w:type="dxa"/>
            <w:shd w:val="clear" w:color="000000" w:fill="F4B084"/>
            <w:noWrap/>
            <w:vAlign w:val="center"/>
          </w:tcPr>
          <w:p w14:paraId="0660DAF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4CBBDFC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5E85F1F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1B321B35" w14:textId="77777777">
        <w:trPr>
          <w:trHeight w:val="300"/>
        </w:trPr>
        <w:tc>
          <w:tcPr>
            <w:tcW w:w="6663" w:type="dxa"/>
            <w:shd w:val="clear" w:color="000000" w:fill="F4B084"/>
            <w:noWrap/>
            <w:vAlign w:val="center"/>
          </w:tcPr>
          <w:p w14:paraId="7CE0836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4C1F30F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A71088" w14:textId="77777777" w:rsidR="0099599B" w:rsidRDefault="0099599B">
            <w:pPr>
              <w:spacing w:after="0" w:line="240" w:lineRule="auto"/>
              <w:rPr>
                <w:rFonts w:eastAsia="Times New Roman"/>
                <w:kern w:val="0"/>
                <w:sz w:val="20"/>
                <w:szCs w:val="20"/>
                <w14:ligatures w14:val="none"/>
              </w:rPr>
            </w:pPr>
          </w:p>
        </w:tc>
      </w:tr>
      <w:tr w:rsidR="0099599B" w14:paraId="69EEC778" w14:textId="77777777">
        <w:trPr>
          <w:trHeight w:val="300"/>
        </w:trPr>
        <w:tc>
          <w:tcPr>
            <w:tcW w:w="6663" w:type="dxa"/>
            <w:shd w:val="clear" w:color="000000" w:fill="F4B084"/>
            <w:noWrap/>
            <w:vAlign w:val="center"/>
          </w:tcPr>
          <w:p w14:paraId="6C4A860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0203FF0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E5C672B" w14:textId="77777777" w:rsidR="0099599B" w:rsidRDefault="0099599B">
            <w:pPr>
              <w:spacing w:after="0" w:line="240" w:lineRule="auto"/>
              <w:rPr>
                <w:rFonts w:eastAsia="Times New Roman"/>
                <w:kern w:val="0"/>
                <w:sz w:val="20"/>
                <w:szCs w:val="20"/>
                <w14:ligatures w14:val="none"/>
              </w:rPr>
            </w:pPr>
          </w:p>
        </w:tc>
      </w:tr>
      <w:tr w:rsidR="0099599B" w14:paraId="19D03653" w14:textId="77777777">
        <w:trPr>
          <w:trHeight w:val="300"/>
        </w:trPr>
        <w:tc>
          <w:tcPr>
            <w:tcW w:w="6663" w:type="dxa"/>
            <w:shd w:val="clear" w:color="000000" w:fill="F4B084"/>
            <w:noWrap/>
            <w:vAlign w:val="center"/>
          </w:tcPr>
          <w:p w14:paraId="0867384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7AE62AD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078041" w14:textId="77777777" w:rsidR="0099599B" w:rsidRDefault="0099599B">
            <w:pPr>
              <w:spacing w:after="0" w:line="240" w:lineRule="auto"/>
              <w:rPr>
                <w:rFonts w:eastAsia="Times New Roman"/>
                <w:kern w:val="0"/>
                <w:sz w:val="20"/>
                <w:szCs w:val="20"/>
                <w14:ligatures w14:val="none"/>
              </w:rPr>
            </w:pPr>
          </w:p>
        </w:tc>
      </w:tr>
      <w:tr w:rsidR="0099599B" w14:paraId="234E0CB5" w14:textId="77777777">
        <w:trPr>
          <w:trHeight w:val="300"/>
        </w:trPr>
        <w:tc>
          <w:tcPr>
            <w:tcW w:w="6663" w:type="dxa"/>
            <w:shd w:val="clear" w:color="000000" w:fill="F4B084"/>
            <w:noWrap/>
            <w:vAlign w:val="center"/>
          </w:tcPr>
          <w:p w14:paraId="63C0D99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noWrap/>
            <w:vAlign w:val="center"/>
          </w:tcPr>
          <w:p w14:paraId="7868E5C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43CE4B" w14:textId="77777777" w:rsidR="0099599B" w:rsidRDefault="0099599B">
            <w:pPr>
              <w:spacing w:after="0" w:line="240" w:lineRule="auto"/>
              <w:rPr>
                <w:rFonts w:eastAsia="Times New Roman"/>
                <w:kern w:val="0"/>
                <w:sz w:val="20"/>
                <w:szCs w:val="20"/>
                <w14:ligatures w14:val="none"/>
              </w:rPr>
            </w:pPr>
          </w:p>
        </w:tc>
      </w:tr>
      <w:tr w:rsidR="0099599B" w14:paraId="7B860D93" w14:textId="77777777">
        <w:trPr>
          <w:trHeight w:val="300"/>
        </w:trPr>
        <w:tc>
          <w:tcPr>
            <w:tcW w:w="6663" w:type="dxa"/>
            <w:noWrap/>
            <w:vAlign w:val="center"/>
          </w:tcPr>
          <w:p w14:paraId="044A402B" w14:textId="77777777" w:rsidR="0099599B" w:rsidRDefault="0099599B">
            <w:pPr>
              <w:spacing w:after="0" w:line="240" w:lineRule="auto"/>
              <w:rPr>
                <w:rFonts w:eastAsia="Times New Roman"/>
                <w:kern w:val="0"/>
                <w:sz w:val="20"/>
                <w:szCs w:val="20"/>
                <w14:ligatures w14:val="none"/>
              </w:rPr>
            </w:pPr>
          </w:p>
        </w:tc>
        <w:tc>
          <w:tcPr>
            <w:tcW w:w="1814" w:type="dxa"/>
            <w:shd w:val="clear" w:color="000000" w:fill="FFC000"/>
            <w:noWrap/>
            <w:vAlign w:val="center"/>
          </w:tcPr>
          <w:p w14:paraId="2F8C5EE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3720AC7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14</w:t>
            </w:r>
          </w:p>
        </w:tc>
      </w:tr>
      <w:tr w:rsidR="0099599B" w14:paraId="5B3654C2" w14:textId="77777777">
        <w:trPr>
          <w:trHeight w:val="300"/>
        </w:trPr>
        <w:tc>
          <w:tcPr>
            <w:tcW w:w="6663" w:type="dxa"/>
            <w:noWrap/>
            <w:vAlign w:val="center"/>
          </w:tcPr>
          <w:p w14:paraId="60C3BC42" w14:textId="77777777" w:rsidR="0099599B" w:rsidRDefault="0099599B">
            <w:pPr>
              <w:spacing w:after="0" w:line="240" w:lineRule="auto"/>
              <w:jc w:val="right"/>
              <w:rPr>
                <w:rFonts w:ascii="Calibri" w:eastAsia="Times New Roman" w:hAnsi="Calibri" w:cs="Calibri"/>
                <w:color w:val="000000"/>
                <w:kern w:val="0"/>
                <w:sz w:val="22"/>
                <w:szCs w:val="22"/>
                <w14:ligatures w14:val="none"/>
              </w:rPr>
            </w:pPr>
          </w:p>
        </w:tc>
        <w:tc>
          <w:tcPr>
            <w:tcW w:w="1814" w:type="dxa"/>
            <w:noWrap/>
            <w:vAlign w:val="center"/>
          </w:tcPr>
          <w:p w14:paraId="501A138E" w14:textId="77777777" w:rsidR="0099599B" w:rsidRDefault="0099599B">
            <w:pPr>
              <w:spacing w:after="0" w:line="240" w:lineRule="auto"/>
              <w:rPr>
                <w:rFonts w:eastAsia="Times New Roman"/>
                <w:kern w:val="0"/>
                <w:sz w:val="20"/>
                <w:szCs w:val="20"/>
                <w14:ligatures w14:val="none"/>
              </w:rPr>
            </w:pPr>
          </w:p>
        </w:tc>
        <w:tc>
          <w:tcPr>
            <w:tcW w:w="1041" w:type="dxa"/>
            <w:noWrap/>
            <w:vAlign w:val="center"/>
          </w:tcPr>
          <w:p w14:paraId="136D17CA" w14:textId="77777777" w:rsidR="0099599B" w:rsidRDefault="0099599B">
            <w:pPr>
              <w:spacing w:after="0" w:line="240" w:lineRule="auto"/>
              <w:rPr>
                <w:rFonts w:eastAsia="Times New Roman"/>
                <w:kern w:val="0"/>
                <w:sz w:val="20"/>
                <w:szCs w:val="20"/>
                <w14:ligatures w14:val="none"/>
              </w:rPr>
            </w:pPr>
          </w:p>
        </w:tc>
      </w:tr>
      <w:tr w:rsidR="0099599B" w14:paraId="4C7661BC" w14:textId="77777777">
        <w:trPr>
          <w:trHeight w:val="300"/>
        </w:trPr>
        <w:tc>
          <w:tcPr>
            <w:tcW w:w="6663" w:type="dxa"/>
            <w:noWrap/>
            <w:vAlign w:val="center"/>
          </w:tcPr>
          <w:p w14:paraId="4E5E6F0B" w14:textId="77777777" w:rsidR="0099599B" w:rsidRDefault="00EB7A3F">
            <w:pPr>
              <w:spacing w:after="0" w:line="240" w:lineRule="auto"/>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Gender - Female</w:t>
            </w:r>
          </w:p>
        </w:tc>
        <w:tc>
          <w:tcPr>
            <w:tcW w:w="1814" w:type="dxa"/>
            <w:noWrap/>
            <w:vAlign w:val="center"/>
          </w:tcPr>
          <w:p w14:paraId="17D6C74D" w14:textId="77777777" w:rsidR="0099599B" w:rsidRDefault="0099599B">
            <w:pPr>
              <w:spacing w:after="0" w:line="240" w:lineRule="auto"/>
              <w:jc w:val="center"/>
              <w:rPr>
                <w:rFonts w:ascii="Calibri" w:eastAsia="Times New Roman" w:hAnsi="Calibri" w:cs="Calibri"/>
                <w:b/>
                <w:bCs/>
                <w:color w:val="000000"/>
                <w:kern w:val="0"/>
                <w:sz w:val="22"/>
                <w:szCs w:val="22"/>
                <w14:ligatures w14:val="none"/>
              </w:rPr>
            </w:pPr>
          </w:p>
        </w:tc>
        <w:tc>
          <w:tcPr>
            <w:tcW w:w="1041" w:type="dxa"/>
            <w:noWrap/>
            <w:vAlign w:val="center"/>
          </w:tcPr>
          <w:p w14:paraId="25A88155" w14:textId="77777777" w:rsidR="0099599B" w:rsidRDefault="0099599B">
            <w:pPr>
              <w:spacing w:after="0" w:line="240" w:lineRule="auto"/>
              <w:rPr>
                <w:rFonts w:eastAsia="Times New Roman"/>
                <w:kern w:val="0"/>
                <w:sz w:val="20"/>
                <w:szCs w:val="20"/>
                <w14:ligatures w14:val="none"/>
              </w:rPr>
            </w:pPr>
          </w:p>
        </w:tc>
      </w:tr>
      <w:tr w:rsidR="0099599B" w14:paraId="11D0C73B" w14:textId="77777777">
        <w:trPr>
          <w:trHeight w:val="300"/>
        </w:trPr>
        <w:tc>
          <w:tcPr>
            <w:tcW w:w="6663" w:type="dxa"/>
            <w:shd w:val="clear" w:color="000000" w:fill="E2EFDA"/>
            <w:noWrap/>
            <w:vAlign w:val="bottom"/>
          </w:tcPr>
          <w:p w14:paraId="74904A8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Respondents with no Education</w:t>
            </w:r>
          </w:p>
        </w:tc>
        <w:tc>
          <w:tcPr>
            <w:tcW w:w="1814" w:type="dxa"/>
            <w:noWrap/>
            <w:vAlign w:val="center"/>
          </w:tcPr>
          <w:p w14:paraId="5E88FA9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Sociodemographic</w:t>
            </w:r>
          </w:p>
        </w:tc>
        <w:tc>
          <w:tcPr>
            <w:tcW w:w="1041" w:type="dxa"/>
            <w:noWrap/>
            <w:vAlign w:val="center"/>
          </w:tcPr>
          <w:p w14:paraId="48020D9B"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w:t>
            </w:r>
          </w:p>
        </w:tc>
      </w:tr>
      <w:tr w:rsidR="0099599B" w14:paraId="6A739E91" w14:textId="77777777">
        <w:trPr>
          <w:trHeight w:val="300"/>
        </w:trPr>
        <w:tc>
          <w:tcPr>
            <w:tcW w:w="6663" w:type="dxa"/>
            <w:shd w:val="clear" w:color="000000" w:fill="E2EFDA"/>
            <w:noWrap/>
            <w:vAlign w:val="bottom"/>
          </w:tcPr>
          <w:p w14:paraId="1177E6B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Unemployed</w:t>
            </w:r>
          </w:p>
        </w:tc>
        <w:tc>
          <w:tcPr>
            <w:tcW w:w="1814" w:type="dxa"/>
            <w:noWrap/>
            <w:vAlign w:val="center"/>
          </w:tcPr>
          <w:p w14:paraId="3FDA005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94C2D53" w14:textId="77777777" w:rsidR="0099599B" w:rsidRDefault="0099599B">
            <w:pPr>
              <w:spacing w:after="0" w:line="240" w:lineRule="auto"/>
              <w:rPr>
                <w:rFonts w:eastAsia="Times New Roman"/>
                <w:kern w:val="0"/>
                <w:sz w:val="20"/>
                <w:szCs w:val="20"/>
                <w14:ligatures w14:val="none"/>
              </w:rPr>
            </w:pPr>
          </w:p>
        </w:tc>
      </w:tr>
      <w:tr w:rsidR="0099599B" w14:paraId="3704AF1D" w14:textId="77777777">
        <w:trPr>
          <w:trHeight w:val="300"/>
        </w:trPr>
        <w:tc>
          <w:tcPr>
            <w:tcW w:w="6663" w:type="dxa"/>
            <w:shd w:val="clear" w:color="000000" w:fill="C6E0B4"/>
            <w:noWrap/>
            <w:vAlign w:val="center"/>
          </w:tcPr>
          <w:p w14:paraId="7097239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females Not engaged in any secondary occupation</w:t>
            </w:r>
          </w:p>
        </w:tc>
        <w:tc>
          <w:tcPr>
            <w:tcW w:w="1814" w:type="dxa"/>
            <w:noWrap/>
            <w:vAlign w:val="center"/>
          </w:tcPr>
          <w:p w14:paraId="713CA4C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Livelihood Strategie</w:t>
            </w:r>
          </w:p>
        </w:tc>
        <w:tc>
          <w:tcPr>
            <w:tcW w:w="1041" w:type="dxa"/>
            <w:noWrap/>
            <w:vAlign w:val="center"/>
          </w:tcPr>
          <w:p w14:paraId="3E895EC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7</w:t>
            </w:r>
          </w:p>
        </w:tc>
      </w:tr>
      <w:tr w:rsidR="0099599B" w14:paraId="589CFD46" w14:textId="77777777">
        <w:trPr>
          <w:trHeight w:val="300"/>
        </w:trPr>
        <w:tc>
          <w:tcPr>
            <w:tcW w:w="6663" w:type="dxa"/>
            <w:shd w:val="clear" w:color="000000" w:fill="C6E0B4"/>
            <w:noWrap/>
            <w:vAlign w:val="center"/>
          </w:tcPr>
          <w:p w14:paraId="49BEAA5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Household heads with agriculture as only source of income</w:t>
            </w:r>
          </w:p>
        </w:tc>
        <w:tc>
          <w:tcPr>
            <w:tcW w:w="1814" w:type="dxa"/>
            <w:noWrap/>
            <w:vAlign w:val="center"/>
          </w:tcPr>
          <w:p w14:paraId="3299143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5AA12B8" w14:textId="77777777" w:rsidR="0099599B" w:rsidRDefault="0099599B">
            <w:pPr>
              <w:spacing w:after="0" w:line="240" w:lineRule="auto"/>
              <w:rPr>
                <w:rFonts w:eastAsia="Times New Roman"/>
                <w:kern w:val="0"/>
                <w:sz w:val="20"/>
                <w:szCs w:val="20"/>
                <w14:ligatures w14:val="none"/>
              </w:rPr>
            </w:pPr>
          </w:p>
        </w:tc>
      </w:tr>
      <w:tr w:rsidR="0099599B" w14:paraId="7C64250A" w14:textId="77777777">
        <w:trPr>
          <w:trHeight w:val="300"/>
        </w:trPr>
        <w:tc>
          <w:tcPr>
            <w:tcW w:w="6663" w:type="dxa"/>
            <w:shd w:val="clear" w:color="000000" w:fill="C6E0B4"/>
            <w:noWrap/>
            <w:vAlign w:val="center"/>
          </w:tcPr>
          <w:p w14:paraId="19AD5DD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dependent on ecosytem services</w:t>
            </w:r>
          </w:p>
        </w:tc>
        <w:tc>
          <w:tcPr>
            <w:tcW w:w="1814" w:type="dxa"/>
            <w:noWrap/>
            <w:vAlign w:val="center"/>
          </w:tcPr>
          <w:p w14:paraId="2AF6D5A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A6F56DC" w14:textId="77777777" w:rsidR="0099599B" w:rsidRDefault="0099599B">
            <w:pPr>
              <w:spacing w:after="0" w:line="240" w:lineRule="auto"/>
              <w:rPr>
                <w:rFonts w:eastAsia="Times New Roman"/>
                <w:kern w:val="0"/>
                <w:sz w:val="20"/>
                <w:szCs w:val="20"/>
                <w14:ligatures w14:val="none"/>
              </w:rPr>
            </w:pPr>
          </w:p>
        </w:tc>
      </w:tr>
      <w:tr w:rsidR="0099599B" w14:paraId="49386279" w14:textId="77777777">
        <w:trPr>
          <w:trHeight w:val="300"/>
        </w:trPr>
        <w:tc>
          <w:tcPr>
            <w:tcW w:w="6663" w:type="dxa"/>
            <w:shd w:val="clear" w:color="000000" w:fill="C6E0B4"/>
            <w:noWrap/>
            <w:vAlign w:val="center"/>
          </w:tcPr>
          <w:p w14:paraId="28EDD8C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growing 1 more crop</w:t>
            </w:r>
          </w:p>
        </w:tc>
        <w:tc>
          <w:tcPr>
            <w:tcW w:w="1814" w:type="dxa"/>
            <w:noWrap/>
            <w:vAlign w:val="center"/>
          </w:tcPr>
          <w:p w14:paraId="47A25D1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AD99BBD" w14:textId="77777777" w:rsidR="0099599B" w:rsidRDefault="0099599B">
            <w:pPr>
              <w:spacing w:after="0" w:line="240" w:lineRule="auto"/>
              <w:rPr>
                <w:rFonts w:eastAsia="Times New Roman"/>
                <w:kern w:val="0"/>
                <w:sz w:val="20"/>
                <w:szCs w:val="20"/>
                <w14:ligatures w14:val="none"/>
              </w:rPr>
            </w:pPr>
          </w:p>
        </w:tc>
      </w:tr>
      <w:tr w:rsidR="0099599B" w14:paraId="2B48A4F4" w14:textId="77777777">
        <w:trPr>
          <w:trHeight w:val="300"/>
        </w:trPr>
        <w:tc>
          <w:tcPr>
            <w:tcW w:w="6663" w:type="dxa"/>
            <w:shd w:val="clear" w:color="000000" w:fill="C6E0B4"/>
            <w:noWrap/>
            <w:vAlign w:val="center"/>
          </w:tcPr>
          <w:p w14:paraId="13269A5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not rearing livestock</w:t>
            </w:r>
          </w:p>
        </w:tc>
        <w:tc>
          <w:tcPr>
            <w:tcW w:w="1814" w:type="dxa"/>
            <w:noWrap/>
            <w:vAlign w:val="center"/>
          </w:tcPr>
          <w:p w14:paraId="4AFCDCE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1B30160" w14:textId="77777777" w:rsidR="0099599B" w:rsidRDefault="0099599B">
            <w:pPr>
              <w:spacing w:after="0" w:line="240" w:lineRule="auto"/>
              <w:rPr>
                <w:rFonts w:eastAsia="Times New Roman"/>
                <w:kern w:val="0"/>
                <w:sz w:val="20"/>
                <w:szCs w:val="20"/>
                <w14:ligatures w14:val="none"/>
              </w:rPr>
            </w:pPr>
          </w:p>
        </w:tc>
      </w:tr>
      <w:tr w:rsidR="0099599B" w14:paraId="49109F73" w14:textId="77777777">
        <w:trPr>
          <w:trHeight w:val="300"/>
        </w:trPr>
        <w:tc>
          <w:tcPr>
            <w:tcW w:w="6663" w:type="dxa"/>
            <w:shd w:val="clear" w:color="000000" w:fill="C6E0B4"/>
            <w:noWrap/>
            <w:vAlign w:val="center"/>
          </w:tcPr>
          <w:p w14:paraId="1CECFFC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farmers Interested in agricultural insurance but cannot afford</w:t>
            </w:r>
          </w:p>
        </w:tc>
        <w:tc>
          <w:tcPr>
            <w:tcW w:w="1814" w:type="dxa"/>
            <w:noWrap/>
            <w:vAlign w:val="center"/>
          </w:tcPr>
          <w:p w14:paraId="4B1C642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B3B3298" w14:textId="77777777" w:rsidR="0099599B" w:rsidRDefault="0099599B">
            <w:pPr>
              <w:spacing w:after="0" w:line="240" w:lineRule="auto"/>
              <w:rPr>
                <w:rFonts w:eastAsia="Times New Roman"/>
                <w:kern w:val="0"/>
                <w:sz w:val="20"/>
                <w:szCs w:val="20"/>
                <w14:ligatures w14:val="none"/>
              </w:rPr>
            </w:pPr>
          </w:p>
        </w:tc>
      </w:tr>
      <w:tr w:rsidR="0099599B" w14:paraId="48737E30" w14:textId="77777777">
        <w:trPr>
          <w:trHeight w:val="300"/>
        </w:trPr>
        <w:tc>
          <w:tcPr>
            <w:tcW w:w="6663" w:type="dxa"/>
            <w:shd w:val="clear" w:color="000000" w:fill="C6E0B4"/>
            <w:noWrap/>
            <w:vAlign w:val="center"/>
          </w:tcPr>
          <w:p w14:paraId="1DC1DB6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females Not suscribed to agricultural insurance</w:t>
            </w:r>
          </w:p>
        </w:tc>
        <w:tc>
          <w:tcPr>
            <w:tcW w:w="1814" w:type="dxa"/>
            <w:noWrap/>
            <w:vAlign w:val="center"/>
          </w:tcPr>
          <w:p w14:paraId="310A524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40394E1" w14:textId="77777777" w:rsidR="0099599B" w:rsidRDefault="0099599B">
            <w:pPr>
              <w:spacing w:after="0" w:line="240" w:lineRule="auto"/>
              <w:rPr>
                <w:rFonts w:eastAsia="Times New Roman"/>
                <w:kern w:val="0"/>
                <w:sz w:val="20"/>
                <w:szCs w:val="20"/>
                <w14:ligatures w14:val="none"/>
              </w:rPr>
            </w:pPr>
          </w:p>
        </w:tc>
      </w:tr>
      <w:tr w:rsidR="0099599B" w14:paraId="164002BA" w14:textId="77777777">
        <w:trPr>
          <w:trHeight w:val="300"/>
        </w:trPr>
        <w:tc>
          <w:tcPr>
            <w:tcW w:w="6663" w:type="dxa"/>
            <w:shd w:val="clear" w:color="000000" w:fill="70AD47"/>
            <w:noWrap/>
            <w:vAlign w:val="center"/>
          </w:tcPr>
          <w:p w14:paraId="11BCDA6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having equal access to land</w:t>
            </w:r>
          </w:p>
        </w:tc>
        <w:tc>
          <w:tcPr>
            <w:tcW w:w="1814" w:type="dxa"/>
            <w:noWrap/>
            <w:vAlign w:val="center"/>
          </w:tcPr>
          <w:p w14:paraId="151412B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Assets</w:t>
            </w:r>
          </w:p>
        </w:tc>
        <w:tc>
          <w:tcPr>
            <w:tcW w:w="1041" w:type="dxa"/>
            <w:noWrap/>
            <w:vAlign w:val="center"/>
          </w:tcPr>
          <w:p w14:paraId="3E1DBF48" w14:textId="77777777" w:rsidR="0099599B" w:rsidRDefault="00EB7A3F">
            <w:pPr>
              <w:spacing w:after="0" w:line="240" w:lineRule="auto"/>
              <w:jc w:val="right"/>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4</w:t>
            </w:r>
          </w:p>
        </w:tc>
      </w:tr>
      <w:tr w:rsidR="0099599B" w14:paraId="5AFAA9D9" w14:textId="77777777">
        <w:trPr>
          <w:trHeight w:val="300"/>
        </w:trPr>
        <w:tc>
          <w:tcPr>
            <w:tcW w:w="6663" w:type="dxa"/>
            <w:shd w:val="clear" w:color="000000" w:fill="70AD47"/>
            <w:noWrap/>
            <w:vAlign w:val="center"/>
          </w:tcPr>
          <w:p w14:paraId="30B55DA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having equal access to credit</w:t>
            </w:r>
          </w:p>
        </w:tc>
        <w:tc>
          <w:tcPr>
            <w:tcW w:w="1814" w:type="dxa"/>
            <w:noWrap/>
            <w:vAlign w:val="center"/>
          </w:tcPr>
          <w:p w14:paraId="38D7BA5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713BB06" w14:textId="77777777" w:rsidR="0099599B" w:rsidRDefault="0099599B">
            <w:pPr>
              <w:spacing w:after="0" w:line="240" w:lineRule="auto"/>
              <w:rPr>
                <w:rFonts w:eastAsia="Times New Roman"/>
                <w:kern w:val="0"/>
                <w:sz w:val="20"/>
                <w:szCs w:val="20"/>
                <w14:ligatures w14:val="none"/>
              </w:rPr>
            </w:pPr>
          </w:p>
        </w:tc>
      </w:tr>
      <w:tr w:rsidR="0099599B" w14:paraId="552E2851" w14:textId="77777777">
        <w:trPr>
          <w:trHeight w:val="300"/>
        </w:trPr>
        <w:tc>
          <w:tcPr>
            <w:tcW w:w="6663" w:type="dxa"/>
            <w:shd w:val="clear" w:color="000000" w:fill="70AD47"/>
            <w:noWrap/>
            <w:vAlign w:val="center"/>
          </w:tcPr>
          <w:p w14:paraId="5D52CD6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having equal access to climate information</w:t>
            </w:r>
          </w:p>
        </w:tc>
        <w:tc>
          <w:tcPr>
            <w:tcW w:w="1814" w:type="dxa"/>
            <w:noWrap/>
            <w:vAlign w:val="center"/>
          </w:tcPr>
          <w:p w14:paraId="4C9F1E5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F5BF0B6" w14:textId="77777777" w:rsidR="0099599B" w:rsidRDefault="0099599B">
            <w:pPr>
              <w:spacing w:after="0" w:line="240" w:lineRule="auto"/>
              <w:rPr>
                <w:rFonts w:eastAsia="Times New Roman"/>
                <w:kern w:val="0"/>
                <w:sz w:val="20"/>
                <w:szCs w:val="20"/>
                <w14:ligatures w14:val="none"/>
              </w:rPr>
            </w:pPr>
          </w:p>
        </w:tc>
      </w:tr>
      <w:tr w:rsidR="0099599B" w14:paraId="0C121E99" w14:textId="77777777">
        <w:trPr>
          <w:trHeight w:val="300"/>
        </w:trPr>
        <w:tc>
          <w:tcPr>
            <w:tcW w:w="6663" w:type="dxa"/>
            <w:shd w:val="clear" w:color="000000" w:fill="70AD47"/>
            <w:noWrap/>
            <w:vAlign w:val="center"/>
          </w:tcPr>
          <w:p w14:paraId="66CDA01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women without any groups/organizations supporting women in climate adaptation </w:t>
            </w:r>
          </w:p>
        </w:tc>
        <w:tc>
          <w:tcPr>
            <w:tcW w:w="1814" w:type="dxa"/>
            <w:noWrap/>
            <w:vAlign w:val="center"/>
          </w:tcPr>
          <w:p w14:paraId="7983651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0C9781F" w14:textId="77777777" w:rsidR="0099599B" w:rsidRDefault="0099599B">
            <w:pPr>
              <w:spacing w:after="0" w:line="240" w:lineRule="auto"/>
              <w:rPr>
                <w:rFonts w:eastAsia="Times New Roman"/>
                <w:kern w:val="0"/>
                <w:sz w:val="20"/>
                <w:szCs w:val="20"/>
                <w14:ligatures w14:val="none"/>
              </w:rPr>
            </w:pPr>
          </w:p>
        </w:tc>
      </w:tr>
      <w:tr w:rsidR="0099599B" w14:paraId="3978C1D3" w14:textId="77777777">
        <w:trPr>
          <w:trHeight w:val="300"/>
        </w:trPr>
        <w:tc>
          <w:tcPr>
            <w:tcW w:w="6663" w:type="dxa"/>
            <w:shd w:val="clear" w:color="000000" w:fill="00F86F"/>
            <w:noWrap/>
            <w:vAlign w:val="center"/>
          </w:tcPr>
          <w:p w14:paraId="2E2C853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Respondents not part of any social group</w:t>
            </w:r>
          </w:p>
        </w:tc>
        <w:tc>
          <w:tcPr>
            <w:tcW w:w="1814" w:type="dxa"/>
            <w:noWrap/>
            <w:vAlign w:val="center"/>
          </w:tcPr>
          <w:p w14:paraId="7CFE3F5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Social Network</w:t>
            </w:r>
          </w:p>
        </w:tc>
        <w:tc>
          <w:tcPr>
            <w:tcW w:w="1041" w:type="dxa"/>
            <w:noWrap/>
            <w:vAlign w:val="center"/>
          </w:tcPr>
          <w:p w14:paraId="40D15363"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14</w:t>
            </w:r>
          </w:p>
        </w:tc>
      </w:tr>
      <w:tr w:rsidR="0099599B" w14:paraId="7B3CFF8E" w14:textId="77777777">
        <w:trPr>
          <w:trHeight w:val="300"/>
        </w:trPr>
        <w:tc>
          <w:tcPr>
            <w:tcW w:w="6663" w:type="dxa"/>
            <w:shd w:val="clear" w:color="000000" w:fill="00F86F"/>
            <w:noWrap/>
            <w:vAlign w:val="center"/>
          </w:tcPr>
          <w:p w14:paraId="68B092B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Not aware of any gender association or organisation in their community</w:t>
            </w:r>
          </w:p>
        </w:tc>
        <w:tc>
          <w:tcPr>
            <w:tcW w:w="1814" w:type="dxa"/>
            <w:noWrap/>
            <w:vAlign w:val="center"/>
          </w:tcPr>
          <w:p w14:paraId="58F9793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5ACA4D9" w14:textId="77777777" w:rsidR="0099599B" w:rsidRDefault="0099599B">
            <w:pPr>
              <w:spacing w:after="0" w:line="240" w:lineRule="auto"/>
              <w:rPr>
                <w:rFonts w:eastAsia="Times New Roman"/>
                <w:kern w:val="0"/>
                <w:sz w:val="20"/>
                <w:szCs w:val="20"/>
                <w14:ligatures w14:val="none"/>
              </w:rPr>
            </w:pPr>
          </w:p>
        </w:tc>
      </w:tr>
      <w:tr w:rsidR="0099599B" w14:paraId="73DFEE8C" w14:textId="77777777">
        <w:trPr>
          <w:trHeight w:val="300"/>
        </w:trPr>
        <w:tc>
          <w:tcPr>
            <w:tcW w:w="6663" w:type="dxa"/>
            <w:shd w:val="clear" w:color="000000" w:fill="00F86F"/>
            <w:noWrap/>
            <w:vAlign w:val="center"/>
          </w:tcPr>
          <w:p w14:paraId="6E24EBF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of communities without there any gender  related government social interventions (e.g.,   LEAP, s </w:t>
            </w:r>
          </w:p>
        </w:tc>
        <w:tc>
          <w:tcPr>
            <w:tcW w:w="1814" w:type="dxa"/>
            <w:noWrap/>
            <w:vAlign w:val="center"/>
          </w:tcPr>
          <w:p w14:paraId="197E171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54785AD" w14:textId="77777777" w:rsidR="0099599B" w:rsidRDefault="0099599B">
            <w:pPr>
              <w:spacing w:after="0" w:line="240" w:lineRule="auto"/>
              <w:rPr>
                <w:rFonts w:eastAsia="Times New Roman"/>
                <w:kern w:val="0"/>
                <w:sz w:val="20"/>
                <w:szCs w:val="20"/>
                <w14:ligatures w14:val="none"/>
              </w:rPr>
            </w:pPr>
          </w:p>
        </w:tc>
      </w:tr>
      <w:tr w:rsidR="0099599B" w14:paraId="692AE191" w14:textId="77777777">
        <w:trPr>
          <w:trHeight w:val="300"/>
        </w:trPr>
        <w:tc>
          <w:tcPr>
            <w:tcW w:w="6663" w:type="dxa"/>
            <w:shd w:val="clear" w:color="000000" w:fill="00F86F"/>
            <w:noWrap/>
            <w:vAlign w:val="center"/>
          </w:tcPr>
          <w:p w14:paraId="70CF739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Research and Development Institution</w:t>
            </w:r>
          </w:p>
        </w:tc>
        <w:tc>
          <w:tcPr>
            <w:tcW w:w="1814" w:type="dxa"/>
            <w:noWrap/>
            <w:vAlign w:val="center"/>
          </w:tcPr>
          <w:p w14:paraId="6193002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F7A12AA" w14:textId="77777777" w:rsidR="0099599B" w:rsidRDefault="0099599B">
            <w:pPr>
              <w:spacing w:after="0" w:line="240" w:lineRule="auto"/>
              <w:rPr>
                <w:rFonts w:eastAsia="Times New Roman"/>
                <w:kern w:val="0"/>
                <w:sz w:val="20"/>
                <w:szCs w:val="20"/>
                <w14:ligatures w14:val="none"/>
              </w:rPr>
            </w:pPr>
          </w:p>
        </w:tc>
      </w:tr>
      <w:tr w:rsidR="0099599B" w14:paraId="72685E29" w14:textId="77777777">
        <w:trPr>
          <w:trHeight w:val="300"/>
        </w:trPr>
        <w:tc>
          <w:tcPr>
            <w:tcW w:w="6663" w:type="dxa"/>
            <w:shd w:val="clear" w:color="000000" w:fill="00F86F"/>
            <w:noWrap/>
            <w:vAlign w:val="center"/>
          </w:tcPr>
          <w:p w14:paraId="2D1C616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 have never received support from any NGO or CSO</w:t>
            </w:r>
          </w:p>
        </w:tc>
        <w:tc>
          <w:tcPr>
            <w:tcW w:w="1814" w:type="dxa"/>
            <w:noWrap/>
            <w:vAlign w:val="center"/>
          </w:tcPr>
          <w:p w14:paraId="34D16B3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10AB255" w14:textId="77777777" w:rsidR="0099599B" w:rsidRDefault="0099599B">
            <w:pPr>
              <w:spacing w:after="0" w:line="240" w:lineRule="auto"/>
              <w:rPr>
                <w:rFonts w:eastAsia="Times New Roman"/>
                <w:kern w:val="0"/>
                <w:sz w:val="20"/>
                <w:szCs w:val="20"/>
                <w14:ligatures w14:val="none"/>
              </w:rPr>
            </w:pPr>
          </w:p>
        </w:tc>
      </w:tr>
      <w:tr w:rsidR="0099599B" w14:paraId="47AC36D3" w14:textId="77777777">
        <w:trPr>
          <w:trHeight w:val="300"/>
        </w:trPr>
        <w:tc>
          <w:tcPr>
            <w:tcW w:w="6663" w:type="dxa"/>
            <w:shd w:val="clear" w:color="000000" w:fill="00F86F"/>
            <w:noWrap/>
            <w:vAlign w:val="center"/>
          </w:tcPr>
          <w:p w14:paraId="28F151B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who have never received support from any Government Organisation</w:t>
            </w:r>
          </w:p>
        </w:tc>
        <w:tc>
          <w:tcPr>
            <w:tcW w:w="1814" w:type="dxa"/>
            <w:noWrap/>
            <w:vAlign w:val="center"/>
          </w:tcPr>
          <w:p w14:paraId="4CD7C47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C983EC1" w14:textId="77777777" w:rsidR="0099599B" w:rsidRDefault="0099599B">
            <w:pPr>
              <w:spacing w:after="0" w:line="240" w:lineRule="auto"/>
              <w:rPr>
                <w:rFonts w:eastAsia="Times New Roman"/>
                <w:kern w:val="0"/>
                <w:sz w:val="20"/>
                <w:szCs w:val="20"/>
                <w14:ligatures w14:val="none"/>
              </w:rPr>
            </w:pPr>
          </w:p>
        </w:tc>
      </w:tr>
      <w:tr w:rsidR="0099599B" w14:paraId="01E03ED9" w14:textId="77777777">
        <w:trPr>
          <w:trHeight w:val="300"/>
        </w:trPr>
        <w:tc>
          <w:tcPr>
            <w:tcW w:w="6663" w:type="dxa"/>
            <w:shd w:val="clear" w:color="000000" w:fill="00F86F"/>
            <w:noWrap/>
            <w:vAlign w:val="center"/>
          </w:tcPr>
          <w:p w14:paraId="34C005C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remittances from family or friends</w:t>
            </w:r>
          </w:p>
        </w:tc>
        <w:tc>
          <w:tcPr>
            <w:tcW w:w="1814" w:type="dxa"/>
            <w:noWrap/>
            <w:vAlign w:val="center"/>
          </w:tcPr>
          <w:p w14:paraId="45AAAE49"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FECFE30" w14:textId="77777777" w:rsidR="0099599B" w:rsidRDefault="0099599B">
            <w:pPr>
              <w:spacing w:after="0" w:line="240" w:lineRule="auto"/>
              <w:rPr>
                <w:rFonts w:eastAsia="Times New Roman"/>
                <w:kern w:val="0"/>
                <w:sz w:val="20"/>
                <w:szCs w:val="20"/>
                <w14:ligatures w14:val="none"/>
              </w:rPr>
            </w:pPr>
          </w:p>
        </w:tc>
      </w:tr>
      <w:tr w:rsidR="0099599B" w14:paraId="026DBE44" w14:textId="77777777">
        <w:trPr>
          <w:trHeight w:val="300"/>
        </w:trPr>
        <w:tc>
          <w:tcPr>
            <w:tcW w:w="6663" w:type="dxa"/>
            <w:shd w:val="clear" w:color="000000" w:fill="00F86F"/>
            <w:noWrap/>
            <w:vAlign w:val="center"/>
          </w:tcPr>
          <w:p w14:paraId="12D7C24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subsidies</w:t>
            </w:r>
          </w:p>
        </w:tc>
        <w:tc>
          <w:tcPr>
            <w:tcW w:w="1814" w:type="dxa"/>
            <w:noWrap/>
            <w:vAlign w:val="center"/>
          </w:tcPr>
          <w:p w14:paraId="7A45078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53E4F1C" w14:textId="77777777" w:rsidR="0099599B" w:rsidRDefault="0099599B">
            <w:pPr>
              <w:spacing w:after="0" w:line="240" w:lineRule="auto"/>
              <w:rPr>
                <w:rFonts w:eastAsia="Times New Roman"/>
                <w:kern w:val="0"/>
                <w:sz w:val="20"/>
                <w:szCs w:val="20"/>
                <w14:ligatures w14:val="none"/>
              </w:rPr>
            </w:pPr>
          </w:p>
        </w:tc>
      </w:tr>
      <w:tr w:rsidR="0099599B" w14:paraId="2ED183C1" w14:textId="77777777">
        <w:trPr>
          <w:trHeight w:val="300"/>
        </w:trPr>
        <w:tc>
          <w:tcPr>
            <w:tcW w:w="6663" w:type="dxa"/>
            <w:shd w:val="clear" w:color="000000" w:fill="00F86F"/>
            <w:noWrap/>
            <w:vAlign w:val="center"/>
          </w:tcPr>
          <w:p w14:paraId="4728E90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Farmers not associated with any Farmer Based Organization (FBO)</w:t>
            </w:r>
          </w:p>
        </w:tc>
        <w:tc>
          <w:tcPr>
            <w:tcW w:w="1814" w:type="dxa"/>
            <w:noWrap/>
            <w:vAlign w:val="center"/>
          </w:tcPr>
          <w:p w14:paraId="07819A5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20A43A3" w14:textId="77777777" w:rsidR="0099599B" w:rsidRDefault="0099599B">
            <w:pPr>
              <w:spacing w:after="0" w:line="240" w:lineRule="auto"/>
              <w:rPr>
                <w:rFonts w:eastAsia="Times New Roman"/>
                <w:kern w:val="0"/>
                <w:sz w:val="20"/>
                <w:szCs w:val="20"/>
                <w14:ligatures w14:val="none"/>
              </w:rPr>
            </w:pPr>
          </w:p>
        </w:tc>
      </w:tr>
      <w:tr w:rsidR="0099599B" w14:paraId="3246AF9C" w14:textId="77777777">
        <w:trPr>
          <w:trHeight w:val="300"/>
        </w:trPr>
        <w:tc>
          <w:tcPr>
            <w:tcW w:w="6663" w:type="dxa"/>
            <w:shd w:val="clear" w:color="000000" w:fill="00F86F"/>
            <w:noWrap/>
            <w:vAlign w:val="center"/>
          </w:tcPr>
          <w:p w14:paraId="36B85E2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Farmers not associated with any Agriculture Extention Agent (AEA)</w:t>
            </w:r>
          </w:p>
        </w:tc>
        <w:tc>
          <w:tcPr>
            <w:tcW w:w="1814" w:type="dxa"/>
            <w:noWrap/>
            <w:vAlign w:val="center"/>
          </w:tcPr>
          <w:p w14:paraId="5A00CC3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A84AB3" w14:textId="77777777" w:rsidR="0099599B" w:rsidRDefault="0099599B">
            <w:pPr>
              <w:spacing w:after="0" w:line="240" w:lineRule="auto"/>
              <w:rPr>
                <w:rFonts w:eastAsia="Times New Roman"/>
                <w:kern w:val="0"/>
                <w:sz w:val="20"/>
                <w:szCs w:val="20"/>
                <w14:ligatures w14:val="none"/>
              </w:rPr>
            </w:pPr>
          </w:p>
        </w:tc>
      </w:tr>
      <w:tr w:rsidR="0099599B" w14:paraId="7AB9E830" w14:textId="77777777">
        <w:trPr>
          <w:trHeight w:val="300"/>
        </w:trPr>
        <w:tc>
          <w:tcPr>
            <w:tcW w:w="6663" w:type="dxa"/>
            <w:shd w:val="clear" w:color="000000" w:fill="00F86F"/>
            <w:noWrap/>
            <w:vAlign w:val="center"/>
          </w:tcPr>
          <w:p w14:paraId="5CCBD3C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Farmers without irrigation (rainfall dependent)</w:t>
            </w:r>
          </w:p>
        </w:tc>
        <w:tc>
          <w:tcPr>
            <w:tcW w:w="1814" w:type="dxa"/>
            <w:noWrap/>
            <w:vAlign w:val="center"/>
          </w:tcPr>
          <w:p w14:paraId="1289616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B6A5E8C" w14:textId="77777777" w:rsidR="0099599B" w:rsidRDefault="0099599B">
            <w:pPr>
              <w:spacing w:after="0" w:line="240" w:lineRule="auto"/>
              <w:rPr>
                <w:rFonts w:eastAsia="Times New Roman"/>
                <w:kern w:val="0"/>
                <w:sz w:val="20"/>
                <w:szCs w:val="20"/>
                <w14:ligatures w14:val="none"/>
              </w:rPr>
            </w:pPr>
          </w:p>
        </w:tc>
      </w:tr>
      <w:tr w:rsidR="0099599B" w14:paraId="26FE9D96" w14:textId="77777777">
        <w:trPr>
          <w:trHeight w:val="300"/>
        </w:trPr>
        <w:tc>
          <w:tcPr>
            <w:tcW w:w="6663" w:type="dxa"/>
            <w:shd w:val="clear" w:color="000000" w:fill="00F86F"/>
            <w:noWrap/>
            <w:vAlign w:val="center"/>
          </w:tcPr>
          <w:p w14:paraId="490D76A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Farmers without access to information on production methods and systems</w:t>
            </w:r>
          </w:p>
        </w:tc>
        <w:tc>
          <w:tcPr>
            <w:tcW w:w="1814" w:type="dxa"/>
            <w:noWrap/>
            <w:vAlign w:val="center"/>
          </w:tcPr>
          <w:p w14:paraId="248D5F8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E9576E2" w14:textId="77777777" w:rsidR="0099599B" w:rsidRDefault="0099599B">
            <w:pPr>
              <w:spacing w:after="0" w:line="240" w:lineRule="auto"/>
              <w:rPr>
                <w:rFonts w:eastAsia="Times New Roman"/>
                <w:kern w:val="0"/>
                <w:sz w:val="20"/>
                <w:szCs w:val="20"/>
                <w14:ligatures w14:val="none"/>
              </w:rPr>
            </w:pPr>
          </w:p>
        </w:tc>
      </w:tr>
      <w:tr w:rsidR="0099599B" w14:paraId="57367F3D" w14:textId="77777777">
        <w:trPr>
          <w:trHeight w:val="300"/>
        </w:trPr>
        <w:tc>
          <w:tcPr>
            <w:tcW w:w="6663" w:type="dxa"/>
            <w:shd w:val="clear" w:color="000000" w:fill="00F86F"/>
            <w:noWrap/>
            <w:vAlign w:val="center"/>
          </w:tcPr>
          <w:p w14:paraId="10F0430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Without knowledge about agricultural insurance</w:t>
            </w:r>
          </w:p>
        </w:tc>
        <w:tc>
          <w:tcPr>
            <w:tcW w:w="1814" w:type="dxa"/>
            <w:noWrap/>
            <w:vAlign w:val="center"/>
          </w:tcPr>
          <w:p w14:paraId="6C4864F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05565FE" w14:textId="77777777" w:rsidR="0099599B" w:rsidRDefault="0099599B">
            <w:pPr>
              <w:spacing w:after="0" w:line="240" w:lineRule="auto"/>
              <w:rPr>
                <w:rFonts w:eastAsia="Times New Roman"/>
                <w:kern w:val="0"/>
                <w:sz w:val="20"/>
                <w:szCs w:val="20"/>
                <w14:ligatures w14:val="none"/>
              </w:rPr>
            </w:pPr>
          </w:p>
        </w:tc>
      </w:tr>
      <w:tr w:rsidR="0099599B" w14:paraId="54B8A71B" w14:textId="77777777">
        <w:trPr>
          <w:trHeight w:val="300"/>
        </w:trPr>
        <w:tc>
          <w:tcPr>
            <w:tcW w:w="6663" w:type="dxa"/>
            <w:shd w:val="clear" w:color="000000" w:fill="00F86F"/>
            <w:noWrap/>
            <w:vAlign w:val="center"/>
          </w:tcPr>
          <w:p w14:paraId="60BC295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Size of farm (acres) - female farmers</w:t>
            </w:r>
          </w:p>
        </w:tc>
        <w:tc>
          <w:tcPr>
            <w:tcW w:w="1814" w:type="dxa"/>
            <w:shd w:val="clear" w:color="000000" w:fill="FFC000"/>
            <w:noWrap/>
            <w:vAlign w:val="center"/>
          </w:tcPr>
          <w:p w14:paraId="2D89E051"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Adaptation Capacity</w:t>
            </w:r>
          </w:p>
        </w:tc>
        <w:tc>
          <w:tcPr>
            <w:tcW w:w="1041" w:type="dxa"/>
            <w:noWrap/>
            <w:vAlign w:val="center"/>
          </w:tcPr>
          <w:p w14:paraId="1D6F5FBD"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27</w:t>
            </w:r>
          </w:p>
        </w:tc>
      </w:tr>
      <w:tr w:rsidR="0099599B" w14:paraId="6359DCDE" w14:textId="77777777">
        <w:trPr>
          <w:trHeight w:val="300"/>
        </w:trPr>
        <w:tc>
          <w:tcPr>
            <w:tcW w:w="6663" w:type="dxa"/>
            <w:shd w:val="clear" w:color="000000" w:fill="00F86F"/>
            <w:noWrap/>
            <w:vAlign w:val="center"/>
          </w:tcPr>
          <w:p w14:paraId="4AEFA1A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6619849E"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7C019263"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686CEAC5" w14:textId="77777777">
        <w:trPr>
          <w:trHeight w:val="300"/>
        </w:trPr>
        <w:tc>
          <w:tcPr>
            <w:tcW w:w="6663" w:type="dxa"/>
            <w:shd w:val="clear" w:color="000000" w:fill="5B9BD5"/>
            <w:noWrap/>
            <w:vAlign w:val="center"/>
          </w:tcPr>
          <w:p w14:paraId="097B291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engaged in decisions about household finances</w:t>
            </w:r>
          </w:p>
        </w:tc>
        <w:tc>
          <w:tcPr>
            <w:tcW w:w="1814" w:type="dxa"/>
            <w:noWrap/>
            <w:vAlign w:val="center"/>
          </w:tcPr>
          <w:p w14:paraId="54E2FA5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Gender dynamics</w:t>
            </w:r>
          </w:p>
        </w:tc>
        <w:tc>
          <w:tcPr>
            <w:tcW w:w="1041" w:type="dxa"/>
            <w:noWrap/>
            <w:vAlign w:val="center"/>
          </w:tcPr>
          <w:p w14:paraId="22A9D569"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w:t>
            </w:r>
          </w:p>
        </w:tc>
      </w:tr>
      <w:tr w:rsidR="0099599B" w14:paraId="7DC03548" w14:textId="77777777">
        <w:trPr>
          <w:trHeight w:val="300"/>
        </w:trPr>
        <w:tc>
          <w:tcPr>
            <w:tcW w:w="6663" w:type="dxa"/>
            <w:shd w:val="clear" w:color="000000" w:fill="5B9BD5"/>
            <w:noWrap/>
            <w:vAlign w:val="center"/>
          </w:tcPr>
          <w:p w14:paraId="3577684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engaged in  decisions about farming</w:t>
            </w:r>
          </w:p>
        </w:tc>
        <w:tc>
          <w:tcPr>
            <w:tcW w:w="1814" w:type="dxa"/>
            <w:noWrap/>
            <w:vAlign w:val="center"/>
          </w:tcPr>
          <w:p w14:paraId="40E9188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95FDD79" w14:textId="77777777" w:rsidR="0099599B" w:rsidRDefault="0099599B">
            <w:pPr>
              <w:spacing w:after="0" w:line="240" w:lineRule="auto"/>
              <w:rPr>
                <w:rFonts w:eastAsia="Times New Roman"/>
                <w:kern w:val="0"/>
                <w:sz w:val="20"/>
                <w:szCs w:val="20"/>
                <w14:ligatures w14:val="none"/>
              </w:rPr>
            </w:pPr>
          </w:p>
        </w:tc>
      </w:tr>
      <w:tr w:rsidR="0099599B" w14:paraId="57B2D1C1" w14:textId="77777777">
        <w:trPr>
          <w:trHeight w:val="300"/>
        </w:trPr>
        <w:tc>
          <w:tcPr>
            <w:tcW w:w="6663" w:type="dxa"/>
            <w:shd w:val="clear" w:color="000000" w:fill="5B9BD5"/>
            <w:noWrap/>
            <w:vAlign w:val="center"/>
          </w:tcPr>
          <w:p w14:paraId="51C9128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engaged in  decisions about children's education</w:t>
            </w:r>
          </w:p>
        </w:tc>
        <w:tc>
          <w:tcPr>
            <w:tcW w:w="1814" w:type="dxa"/>
            <w:noWrap/>
            <w:vAlign w:val="center"/>
          </w:tcPr>
          <w:p w14:paraId="29D98DC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A1FF97C" w14:textId="77777777" w:rsidR="0099599B" w:rsidRDefault="0099599B">
            <w:pPr>
              <w:spacing w:after="0" w:line="240" w:lineRule="auto"/>
              <w:rPr>
                <w:rFonts w:eastAsia="Times New Roman"/>
                <w:kern w:val="0"/>
                <w:sz w:val="20"/>
                <w:szCs w:val="20"/>
                <w14:ligatures w14:val="none"/>
              </w:rPr>
            </w:pPr>
          </w:p>
        </w:tc>
      </w:tr>
      <w:tr w:rsidR="0099599B" w14:paraId="24E52FCE" w14:textId="77777777">
        <w:trPr>
          <w:trHeight w:val="300"/>
        </w:trPr>
        <w:tc>
          <w:tcPr>
            <w:tcW w:w="6663" w:type="dxa"/>
            <w:shd w:val="clear" w:color="000000" w:fill="5B9BD5"/>
            <w:noWrap/>
            <w:vAlign w:val="center"/>
          </w:tcPr>
          <w:p w14:paraId="0225AC7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not engaged in household climate decision making</w:t>
            </w:r>
          </w:p>
        </w:tc>
        <w:tc>
          <w:tcPr>
            <w:tcW w:w="1814" w:type="dxa"/>
            <w:noWrap/>
            <w:vAlign w:val="center"/>
          </w:tcPr>
          <w:p w14:paraId="7A54F79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8AA35F8" w14:textId="77777777" w:rsidR="0099599B" w:rsidRDefault="0099599B">
            <w:pPr>
              <w:spacing w:after="0" w:line="240" w:lineRule="auto"/>
              <w:rPr>
                <w:rFonts w:eastAsia="Times New Roman"/>
                <w:kern w:val="0"/>
                <w:sz w:val="20"/>
                <w:szCs w:val="20"/>
                <w14:ligatures w14:val="none"/>
              </w:rPr>
            </w:pPr>
          </w:p>
        </w:tc>
      </w:tr>
      <w:tr w:rsidR="0099599B" w14:paraId="2E7080C3" w14:textId="77777777">
        <w:trPr>
          <w:trHeight w:val="300"/>
        </w:trPr>
        <w:tc>
          <w:tcPr>
            <w:tcW w:w="6663" w:type="dxa"/>
            <w:shd w:val="clear" w:color="000000" w:fill="DDEBF7"/>
            <w:noWrap/>
            <w:vAlign w:val="bottom"/>
          </w:tcPr>
          <w:p w14:paraId="0767BAF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 health facility in their communities</w:t>
            </w:r>
          </w:p>
        </w:tc>
        <w:tc>
          <w:tcPr>
            <w:tcW w:w="1814" w:type="dxa"/>
            <w:noWrap/>
            <w:vAlign w:val="center"/>
          </w:tcPr>
          <w:p w14:paraId="317C7A5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Health Services</w:t>
            </w:r>
          </w:p>
        </w:tc>
        <w:tc>
          <w:tcPr>
            <w:tcW w:w="1041" w:type="dxa"/>
            <w:noWrap/>
            <w:vAlign w:val="center"/>
          </w:tcPr>
          <w:p w14:paraId="0F6EF317"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2626A3BF" w14:textId="77777777">
        <w:trPr>
          <w:trHeight w:val="300"/>
        </w:trPr>
        <w:tc>
          <w:tcPr>
            <w:tcW w:w="6663" w:type="dxa"/>
            <w:shd w:val="clear" w:color="000000" w:fill="DDEBF7"/>
            <w:noWrap/>
            <w:vAlign w:val="bottom"/>
          </w:tcPr>
          <w:p w14:paraId="2D0896A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Minutes of travel to the nearest health facilities</w:t>
            </w:r>
          </w:p>
        </w:tc>
        <w:tc>
          <w:tcPr>
            <w:tcW w:w="1814" w:type="dxa"/>
            <w:noWrap/>
            <w:vAlign w:val="center"/>
          </w:tcPr>
          <w:p w14:paraId="3D88480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04019B3" w14:textId="77777777" w:rsidR="0099599B" w:rsidRDefault="0099599B">
            <w:pPr>
              <w:spacing w:after="0" w:line="240" w:lineRule="auto"/>
              <w:rPr>
                <w:rFonts w:eastAsia="Times New Roman"/>
                <w:kern w:val="0"/>
                <w:sz w:val="20"/>
                <w:szCs w:val="20"/>
                <w14:ligatures w14:val="none"/>
              </w:rPr>
            </w:pPr>
          </w:p>
        </w:tc>
      </w:tr>
      <w:tr w:rsidR="0099599B" w14:paraId="7026B49A" w14:textId="77777777">
        <w:trPr>
          <w:trHeight w:val="300"/>
        </w:trPr>
        <w:tc>
          <w:tcPr>
            <w:tcW w:w="6663" w:type="dxa"/>
            <w:shd w:val="clear" w:color="000000" w:fill="DDEBF7"/>
            <w:noWrap/>
            <w:vAlign w:val="bottom"/>
          </w:tcPr>
          <w:p w14:paraId="3364A74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health facilities in the community</w:t>
            </w:r>
          </w:p>
        </w:tc>
        <w:tc>
          <w:tcPr>
            <w:tcW w:w="1814" w:type="dxa"/>
            <w:noWrap/>
            <w:vAlign w:val="center"/>
          </w:tcPr>
          <w:p w14:paraId="3773622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088836C" w14:textId="77777777" w:rsidR="0099599B" w:rsidRDefault="0099599B">
            <w:pPr>
              <w:spacing w:after="0" w:line="240" w:lineRule="auto"/>
              <w:rPr>
                <w:rFonts w:eastAsia="Times New Roman"/>
                <w:kern w:val="0"/>
                <w:sz w:val="20"/>
                <w:szCs w:val="20"/>
                <w14:ligatures w14:val="none"/>
              </w:rPr>
            </w:pPr>
          </w:p>
        </w:tc>
      </w:tr>
      <w:tr w:rsidR="0099599B" w14:paraId="264B2651" w14:textId="77777777">
        <w:trPr>
          <w:trHeight w:val="300"/>
        </w:trPr>
        <w:tc>
          <w:tcPr>
            <w:tcW w:w="6663" w:type="dxa"/>
            <w:shd w:val="clear" w:color="000000" w:fill="DDEBF7"/>
            <w:noWrap/>
            <w:vAlign w:val="bottom"/>
          </w:tcPr>
          <w:p w14:paraId="17EB672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the NHIS</w:t>
            </w:r>
          </w:p>
        </w:tc>
        <w:tc>
          <w:tcPr>
            <w:tcW w:w="1814" w:type="dxa"/>
            <w:noWrap/>
            <w:vAlign w:val="center"/>
          </w:tcPr>
          <w:p w14:paraId="3CE098D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F540B88" w14:textId="77777777" w:rsidR="0099599B" w:rsidRDefault="0099599B">
            <w:pPr>
              <w:spacing w:after="0" w:line="240" w:lineRule="auto"/>
              <w:rPr>
                <w:rFonts w:eastAsia="Times New Roman"/>
                <w:kern w:val="0"/>
                <w:sz w:val="20"/>
                <w:szCs w:val="20"/>
                <w14:ligatures w14:val="none"/>
              </w:rPr>
            </w:pPr>
          </w:p>
        </w:tc>
      </w:tr>
      <w:tr w:rsidR="0099599B" w14:paraId="146E6CFB" w14:textId="77777777">
        <w:trPr>
          <w:trHeight w:val="300"/>
        </w:trPr>
        <w:tc>
          <w:tcPr>
            <w:tcW w:w="6663" w:type="dxa"/>
            <w:shd w:val="clear" w:color="000000" w:fill="DDEBF7"/>
            <w:noWrap/>
            <w:vAlign w:val="bottom"/>
          </w:tcPr>
          <w:p w14:paraId="2C09B6F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where a member missed work/school due to illness</w:t>
            </w:r>
          </w:p>
        </w:tc>
        <w:tc>
          <w:tcPr>
            <w:tcW w:w="1814" w:type="dxa"/>
            <w:noWrap/>
            <w:vAlign w:val="center"/>
          </w:tcPr>
          <w:p w14:paraId="0BBCC46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3C840E5" w14:textId="77777777" w:rsidR="0099599B" w:rsidRDefault="0099599B">
            <w:pPr>
              <w:spacing w:after="0" w:line="240" w:lineRule="auto"/>
              <w:rPr>
                <w:rFonts w:eastAsia="Times New Roman"/>
                <w:kern w:val="0"/>
                <w:sz w:val="20"/>
                <w:szCs w:val="20"/>
                <w14:ligatures w14:val="none"/>
              </w:rPr>
            </w:pPr>
          </w:p>
        </w:tc>
      </w:tr>
      <w:tr w:rsidR="0099599B" w14:paraId="0CE2A7B2" w14:textId="77777777">
        <w:trPr>
          <w:trHeight w:val="300"/>
        </w:trPr>
        <w:tc>
          <w:tcPr>
            <w:tcW w:w="6663" w:type="dxa"/>
            <w:shd w:val="clear" w:color="000000" w:fill="ACB9CA"/>
            <w:noWrap/>
            <w:vAlign w:val="center"/>
          </w:tcPr>
          <w:p w14:paraId="6B57A03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safe sanitation services</w:t>
            </w:r>
          </w:p>
        </w:tc>
        <w:tc>
          <w:tcPr>
            <w:tcW w:w="1814" w:type="dxa"/>
            <w:noWrap/>
            <w:vAlign w:val="center"/>
          </w:tcPr>
          <w:p w14:paraId="1BAA3F5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Sanitation</w:t>
            </w:r>
          </w:p>
        </w:tc>
        <w:tc>
          <w:tcPr>
            <w:tcW w:w="1041" w:type="dxa"/>
            <w:noWrap/>
            <w:vAlign w:val="center"/>
          </w:tcPr>
          <w:p w14:paraId="6D4BB81A"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6806CE40" w14:textId="77777777">
        <w:trPr>
          <w:trHeight w:val="300"/>
        </w:trPr>
        <w:tc>
          <w:tcPr>
            <w:tcW w:w="6663" w:type="dxa"/>
            <w:shd w:val="clear" w:color="000000" w:fill="ACB9CA"/>
            <w:noWrap/>
            <w:vAlign w:val="center"/>
          </w:tcPr>
          <w:p w14:paraId="6E482104"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Number of public toilet facilitites in the community</w:t>
            </w:r>
          </w:p>
        </w:tc>
        <w:tc>
          <w:tcPr>
            <w:tcW w:w="1814" w:type="dxa"/>
            <w:noWrap/>
            <w:vAlign w:val="center"/>
          </w:tcPr>
          <w:p w14:paraId="60278FF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8CBA85C" w14:textId="77777777" w:rsidR="0099599B" w:rsidRDefault="0099599B">
            <w:pPr>
              <w:spacing w:after="0" w:line="240" w:lineRule="auto"/>
              <w:rPr>
                <w:rFonts w:eastAsia="Times New Roman"/>
                <w:kern w:val="0"/>
                <w:sz w:val="20"/>
                <w:szCs w:val="20"/>
                <w14:ligatures w14:val="none"/>
              </w:rPr>
            </w:pPr>
          </w:p>
        </w:tc>
      </w:tr>
      <w:tr w:rsidR="0099599B" w14:paraId="25F6F6B8" w14:textId="77777777">
        <w:trPr>
          <w:trHeight w:val="300"/>
        </w:trPr>
        <w:tc>
          <w:tcPr>
            <w:tcW w:w="6663" w:type="dxa"/>
            <w:shd w:val="clear" w:color="000000" w:fill="ACB9CA"/>
            <w:noWrap/>
            <w:vAlign w:val="center"/>
          </w:tcPr>
          <w:p w14:paraId="68235E9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training/sensitization on climate related diseases</w:t>
            </w:r>
          </w:p>
        </w:tc>
        <w:tc>
          <w:tcPr>
            <w:tcW w:w="1814" w:type="dxa"/>
            <w:noWrap/>
            <w:vAlign w:val="center"/>
          </w:tcPr>
          <w:p w14:paraId="2FF1A66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48A3A99" w14:textId="77777777" w:rsidR="0099599B" w:rsidRDefault="0099599B">
            <w:pPr>
              <w:spacing w:after="0" w:line="240" w:lineRule="auto"/>
              <w:rPr>
                <w:rFonts w:eastAsia="Times New Roman"/>
                <w:kern w:val="0"/>
                <w:sz w:val="20"/>
                <w:szCs w:val="20"/>
                <w14:ligatures w14:val="none"/>
              </w:rPr>
            </w:pPr>
          </w:p>
        </w:tc>
      </w:tr>
      <w:tr w:rsidR="0099599B" w14:paraId="137F3526" w14:textId="77777777">
        <w:trPr>
          <w:trHeight w:val="300"/>
        </w:trPr>
        <w:tc>
          <w:tcPr>
            <w:tcW w:w="6663" w:type="dxa"/>
            <w:shd w:val="clear" w:color="000000" w:fill="B4C6E7"/>
            <w:noWrap/>
            <w:vAlign w:val="center"/>
          </w:tcPr>
          <w:p w14:paraId="0E63C35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 dealing with persistent water source unavailability</w:t>
            </w:r>
          </w:p>
        </w:tc>
        <w:tc>
          <w:tcPr>
            <w:tcW w:w="1814" w:type="dxa"/>
            <w:noWrap/>
            <w:vAlign w:val="center"/>
          </w:tcPr>
          <w:p w14:paraId="2449B9E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Water</w:t>
            </w:r>
          </w:p>
        </w:tc>
        <w:tc>
          <w:tcPr>
            <w:tcW w:w="1041" w:type="dxa"/>
            <w:noWrap/>
            <w:vAlign w:val="center"/>
          </w:tcPr>
          <w:p w14:paraId="3B6E59FE"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6</w:t>
            </w:r>
          </w:p>
        </w:tc>
      </w:tr>
      <w:tr w:rsidR="0099599B" w14:paraId="762B9C5E" w14:textId="77777777">
        <w:trPr>
          <w:trHeight w:val="300"/>
        </w:trPr>
        <w:tc>
          <w:tcPr>
            <w:tcW w:w="6663" w:type="dxa"/>
            <w:shd w:val="clear" w:color="000000" w:fill="B4C6E7"/>
            <w:noWrap/>
            <w:vAlign w:val="center"/>
          </w:tcPr>
          <w:p w14:paraId="1226BE6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potable water</w:t>
            </w:r>
          </w:p>
        </w:tc>
        <w:tc>
          <w:tcPr>
            <w:tcW w:w="1814" w:type="dxa"/>
            <w:noWrap/>
            <w:vAlign w:val="center"/>
          </w:tcPr>
          <w:p w14:paraId="7363802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B397433" w14:textId="77777777" w:rsidR="0099599B" w:rsidRDefault="0099599B">
            <w:pPr>
              <w:spacing w:after="0" w:line="240" w:lineRule="auto"/>
              <w:rPr>
                <w:rFonts w:eastAsia="Times New Roman"/>
                <w:kern w:val="0"/>
                <w:sz w:val="20"/>
                <w:szCs w:val="20"/>
                <w14:ligatures w14:val="none"/>
              </w:rPr>
            </w:pPr>
          </w:p>
        </w:tc>
      </w:tr>
      <w:tr w:rsidR="0099599B" w14:paraId="3D514CB5" w14:textId="77777777">
        <w:trPr>
          <w:trHeight w:val="300"/>
        </w:trPr>
        <w:tc>
          <w:tcPr>
            <w:tcW w:w="6663" w:type="dxa"/>
            <w:shd w:val="clear" w:color="000000" w:fill="B4C6E7"/>
            <w:noWrap/>
            <w:vAlign w:val="center"/>
          </w:tcPr>
          <w:p w14:paraId="021ACC2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cost of water per month</w:t>
            </w:r>
          </w:p>
        </w:tc>
        <w:tc>
          <w:tcPr>
            <w:tcW w:w="1814" w:type="dxa"/>
            <w:noWrap/>
            <w:vAlign w:val="center"/>
          </w:tcPr>
          <w:p w14:paraId="59175793"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F8786F5" w14:textId="77777777" w:rsidR="0099599B" w:rsidRDefault="0099599B">
            <w:pPr>
              <w:spacing w:after="0" w:line="240" w:lineRule="auto"/>
              <w:rPr>
                <w:rFonts w:eastAsia="Times New Roman"/>
                <w:kern w:val="0"/>
                <w:sz w:val="20"/>
                <w:szCs w:val="20"/>
                <w14:ligatures w14:val="none"/>
              </w:rPr>
            </w:pPr>
          </w:p>
        </w:tc>
      </w:tr>
      <w:tr w:rsidR="0099599B" w14:paraId="3132E80C" w14:textId="77777777">
        <w:trPr>
          <w:trHeight w:val="300"/>
        </w:trPr>
        <w:tc>
          <w:tcPr>
            <w:tcW w:w="6663" w:type="dxa"/>
            <w:shd w:val="clear" w:color="000000" w:fill="B4C6E7"/>
            <w:noWrap/>
            <w:vAlign w:val="center"/>
          </w:tcPr>
          <w:p w14:paraId="72F87E3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Households without water source being available everyday</w:t>
            </w:r>
          </w:p>
        </w:tc>
        <w:tc>
          <w:tcPr>
            <w:tcW w:w="1814" w:type="dxa"/>
            <w:noWrap/>
            <w:vAlign w:val="center"/>
          </w:tcPr>
          <w:p w14:paraId="420EE23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00A2B7B" w14:textId="77777777" w:rsidR="0099599B" w:rsidRDefault="0099599B">
            <w:pPr>
              <w:spacing w:after="0" w:line="240" w:lineRule="auto"/>
              <w:rPr>
                <w:rFonts w:eastAsia="Times New Roman"/>
                <w:kern w:val="0"/>
                <w:sz w:val="20"/>
                <w:szCs w:val="20"/>
                <w14:ligatures w14:val="none"/>
              </w:rPr>
            </w:pPr>
          </w:p>
        </w:tc>
      </w:tr>
      <w:tr w:rsidR="0099599B" w14:paraId="383020AE" w14:textId="77777777">
        <w:trPr>
          <w:trHeight w:val="300"/>
        </w:trPr>
        <w:tc>
          <w:tcPr>
            <w:tcW w:w="6663" w:type="dxa"/>
            <w:shd w:val="clear" w:color="000000" w:fill="B4C6E7"/>
            <w:noWrap/>
            <w:vAlign w:val="center"/>
          </w:tcPr>
          <w:p w14:paraId="08FCF07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minutes to get to a water source not inside the household</w:t>
            </w:r>
          </w:p>
        </w:tc>
        <w:tc>
          <w:tcPr>
            <w:tcW w:w="1814" w:type="dxa"/>
            <w:noWrap/>
            <w:vAlign w:val="center"/>
          </w:tcPr>
          <w:p w14:paraId="6AA12851"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394A2A3" w14:textId="77777777" w:rsidR="0099599B" w:rsidRDefault="0099599B">
            <w:pPr>
              <w:spacing w:after="0" w:line="240" w:lineRule="auto"/>
              <w:rPr>
                <w:rFonts w:eastAsia="Times New Roman"/>
                <w:kern w:val="0"/>
                <w:sz w:val="20"/>
                <w:szCs w:val="20"/>
                <w14:ligatures w14:val="none"/>
              </w:rPr>
            </w:pPr>
          </w:p>
        </w:tc>
      </w:tr>
      <w:tr w:rsidR="0099599B" w14:paraId="3487B849" w14:textId="77777777">
        <w:trPr>
          <w:trHeight w:val="300"/>
        </w:trPr>
        <w:tc>
          <w:tcPr>
            <w:tcW w:w="6663" w:type="dxa"/>
            <w:shd w:val="clear" w:color="000000" w:fill="B4C6E7"/>
            <w:noWrap/>
            <w:vAlign w:val="center"/>
          </w:tcPr>
          <w:p w14:paraId="2962886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Conflicts about water sources in the community</w:t>
            </w:r>
          </w:p>
        </w:tc>
        <w:tc>
          <w:tcPr>
            <w:tcW w:w="1814" w:type="dxa"/>
            <w:noWrap/>
            <w:vAlign w:val="center"/>
          </w:tcPr>
          <w:p w14:paraId="4417C56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EFD3FDC" w14:textId="77777777" w:rsidR="0099599B" w:rsidRDefault="0099599B">
            <w:pPr>
              <w:spacing w:after="0" w:line="240" w:lineRule="auto"/>
              <w:rPr>
                <w:rFonts w:eastAsia="Times New Roman"/>
                <w:kern w:val="0"/>
                <w:sz w:val="20"/>
                <w:szCs w:val="20"/>
                <w14:ligatures w14:val="none"/>
              </w:rPr>
            </w:pPr>
          </w:p>
        </w:tc>
      </w:tr>
      <w:tr w:rsidR="0099599B" w14:paraId="1640E13E" w14:textId="77777777">
        <w:trPr>
          <w:trHeight w:val="300"/>
        </w:trPr>
        <w:tc>
          <w:tcPr>
            <w:tcW w:w="6663" w:type="dxa"/>
            <w:shd w:val="clear" w:color="000000" w:fill="9BC2E6"/>
            <w:noWrap/>
            <w:vAlign w:val="center"/>
          </w:tcPr>
          <w:p w14:paraId="55B5886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coastsl storm warnings</w:t>
            </w:r>
          </w:p>
        </w:tc>
        <w:tc>
          <w:tcPr>
            <w:tcW w:w="1814" w:type="dxa"/>
            <w:noWrap/>
            <w:vAlign w:val="center"/>
          </w:tcPr>
          <w:p w14:paraId="303FE1D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Coastal factor</w:t>
            </w:r>
          </w:p>
        </w:tc>
        <w:tc>
          <w:tcPr>
            <w:tcW w:w="1041" w:type="dxa"/>
            <w:noWrap/>
            <w:vAlign w:val="center"/>
          </w:tcPr>
          <w:p w14:paraId="1DC7D4F1"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65C12BA2" w14:textId="77777777">
        <w:trPr>
          <w:trHeight w:val="300"/>
        </w:trPr>
        <w:tc>
          <w:tcPr>
            <w:tcW w:w="6663" w:type="dxa"/>
            <w:shd w:val="clear" w:color="000000" w:fill="9BC2E6"/>
            <w:noWrap/>
            <w:vAlign w:val="center"/>
          </w:tcPr>
          <w:p w14:paraId="520DCA2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 km or less from shoreline</w:t>
            </w:r>
          </w:p>
        </w:tc>
        <w:tc>
          <w:tcPr>
            <w:tcW w:w="1814" w:type="dxa"/>
            <w:noWrap/>
            <w:vAlign w:val="center"/>
          </w:tcPr>
          <w:p w14:paraId="7610668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E3AEDC9" w14:textId="77777777" w:rsidR="0099599B" w:rsidRDefault="0099599B">
            <w:pPr>
              <w:spacing w:after="0" w:line="240" w:lineRule="auto"/>
              <w:rPr>
                <w:rFonts w:eastAsia="Times New Roman"/>
                <w:kern w:val="0"/>
                <w:sz w:val="20"/>
                <w:szCs w:val="20"/>
                <w14:ligatures w14:val="none"/>
              </w:rPr>
            </w:pPr>
          </w:p>
        </w:tc>
      </w:tr>
      <w:tr w:rsidR="0099599B" w14:paraId="16111E73" w14:textId="77777777">
        <w:trPr>
          <w:trHeight w:val="300"/>
        </w:trPr>
        <w:tc>
          <w:tcPr>
            <w:tcW w:w="6663" w:type="dxa"/>
            <w:shd w:val="clear" w:color="000000" w:fill="9BC2E6"/>
            <w:noWrap/>
            <w:vAlign w:val="center"/>
          </w:tcPr>
          <w:p w14:paraId="3EB3CA2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 considered relocating due to sea-related risk</w:t>
            </w:r>
          </w:p>
        </w:tc>
        <w:tc>
          <w:tcPr>
            <w:tcW w:w="1814" w:type="dxa"/>
            <w:noWrap/>
            <w:vAlign w:val="center"/>
          </w:tcPr>
          <w:p w14:paraId="126028DF"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E0CA48B" w14:textId="77777777" w:rsidR="0099599B" w:rsidRDefault="0099599B">
            <w:pPr>
              <w:spacing w:after="0" w:line="240" w:lineRule="auto"/>
              <w:rPr>
                <w:rFonts w:eastAsia="Times New Roman"/>
                <w:kern w:val="0"/>
                <w:sz w:val="20"/>
                <w:szCs w:val="20"/>
                <w14:ligatures w14:val="none"/>
              </w:rPr>
            </w:pPr>
          </w:p>
        </w:tc>
      </w:tr>
      <w:tr w:rsidR="0099599B" w14:paraId="34E91729" w14:textId="77777777">
        <w:trPr>
          <w:trHeight w:val="300"/>
        </w:trPr>
        <w:tc>
          <w:tcPr>
            <w:tcW w:w="6663" w:type="dxa"/>
            <w:shd w:val="clear" w:color="000000" w:fill="00B0F0"/>
            <w:noWrap/>
            <w:vAlign w:val="center"/>
          </w:tcPr>
          <w:p w14:paraId="29C9CCD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whose houses or infrastructure been damanged by flood, erosion or strong winds in the past 5 years</w:t>
            </w:r>
          </w:p>
        </w:tc>
        <w:tc>
          <w:tcPr>
            <w:tcW w:w="1814" w:type="dxa"/>
            <w:noWrap/>
            <w:vAlign w:val="center"/>
          </w:tcPr>
          <w:p w14:paraId="3DC4FEC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Infrastructure</w:t>
            </w:r>
          </w:p>
        </w:tc>
        <w:tc>
          <w:tcPr>
            <w:tcW w:w="1041" w:type="dxa"/>
            <w:noWrap/>
            <w:vAlign w:val="center"/>
          </w:tcPr>
          <w:p w14:paraId="496EA62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42F7D318" w14:textId="77777777">
        <w:trPr>
          <w:trHeight w:val="300"/>
        </w:trPr>
        <w:tc>
          <w:tcPr>
            <w:tcW w:w="6663" w:type="dxa"/>
            <w:shd w:val="clear" w:color="000000" w:fill="00B0F0"/>
            <w:noWrap/>
            <w:vAlign w:val="center"/>
          </w:tcPr>
          <w:p w14:paraId="6D2A566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road block or unusable roads during rains</w:t>
            </w:r>
          </w:p>
        </w:tc>
        <w:tc>
          <w:tcPr>
            <w:tcW w:w="1814" w:type="dxa"/>
            <w:noWrap/>
            <w:vAlign w:val="center"/>
          </w:tcPr>
          <w:p w14:paraId="0C42D8A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B7E9A71" w14:textId="77777777" w:rsidR="0099599B" w:rsidRDefault="0099599B">
            <w:pPr>
              <w:spacing w:after="0" w:line="240" w:lineRule="auto"/>
              <w:rPr>
                <w:rFonts w:eastAsia="Times New Roman"/>
                <w:kern w:val="0"/>
                <w:sz w:val="20"/>
                <w:szCs w:val="20"/>
                <w14:ligatures w14:val="none"/>
              </w:rPr>
            </w:pPr>
          </w:p>
        </w:tc>
      </w:tr>
      <w:tr w:rsidR="0099599B" w14:paraId="0ACDFB6F" w14:textId="77777777">
        <w:trPr>
          <w:trHeight w:val="300"/>
        </w:trPr>
        <w:tc>
          <w:tcPr>
            <w:tcW w:w="6663" w:type="dxa"/>
            <w:shd w:val="clear" w:color="000000" w:fill="00B0F0"/>
            <w:noWrap/>
            <w:vAlign w:val="center"/>
          </w:tcPr>
          <w:p w14:paraId="386A04E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disaster resilient infrastructure</w:t>
            </w:r>
          </w:p>
        </w:tc>
        <w:tc>
          <w:tcPr>
            <w:tcW w:w="1814" w:type="dxa"/>
            <w:noWrap/>
            <w:vAlign w:val="center"/>
          </w:tcPr>
          <w:p w14:paraId="5649F85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EC80753" w14:textId="77777777" w:rsidR="0099599B" w:rsidRDefault="0099599B">
            <w:pPr>
              <w:spacing w:after="0" w:line="240" w:lineRule="auto"/>
              <w:rPr>
                <w:rFonts w:eastAsia="Times New Roman"/>
                <w:kern w:val="0"/>
                <w:sz w:val="20"/>
                <w:szCs w:val="20"/>
                <w14:ligatures w14:val="none"/>
              </w:rPr>
            </w:pPr>
          </w:p>
        </w:tc>
      </w:tr>
      <w:tr w:rsidR="0099599B" w14:paraId="7A20F85B" w14:textId="77777777">
        <w:trPr>
          <w:trHeight w:val="300"/>
        </w:trPr>
        <w:tc>
          <w:tcPr>
            <w:tcW w:w="6663" w:type="dxa"/>
            <w:shd w:val="clear" w:color="000000" w:fill="00B0F0"/>
            <w:noWrap/>
            <w:vAlign w:val="center"/>
          </w:tcPr>
          <w:p w14:paraId="1B33839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ready market</w:t>
            </w:r>
          </w:p>
        </w:tc>
        <w:tc>
          <w:tcPr>
            <w:tcW w:w="1814" w:type="dxa"/>
            <w:noWrap/>
            <w:vAlign w:val="center"/>
          </w:tcPr>
          <w:p w14:paraId="224C8037"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DF8C94" w14:textId="77777777" w:rsidR="0099599B" w:rsidRDefault="0099599B">
            <w:pPr>
              <w:spacing w:after="0" w:line="240" w:lineRule="auto"/>
              <w:rPr>
                <w:rFonts w:eastAsia="Times New Roman"/>
                <w:kern w:val="0"/>
                <w:sz w:val="20"/>
                <w:szCs w:val="20"/>
                <w14:ligatures w14:val="none"/>
              </w:rPr>
            </w:pPr>
          </w:p>
        </w:tc>
      </w:tr>
      <w:tr w:rsidR="0099599B" w14:paraId="73F0F057" w14:textId="77777777">
        <w:trPr>
          <w:trHeight w:val="300"/>
        </w:trPr>
        <w:tc>
          <w:tcPr>
            <w:tcW w:w="6663" w:type="dxa"/>
            <w:shd w:val="clear" w:color="000000" w:fill="00B0F0"/>
            <w:noWrap/>
            <w:vAlign w:val="center"/>
          </w:tcPr>
          <w:p w14:paraId="5DE4BF2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without  access to good road network</w:t>
            </w:r>
          </w:p>
        </w:tc>
        <w:tc>
          <w:tcPr>
            <w:tcW w:w="1814" w:type="dxa"/>
            <w:noWrap/>
            <w:vAlign w:val="center"/>
          </w:tcPr>
          <w:p w14:paraId="2B86445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8F96DAA" w14:textId="77777777" w:rsidR="0099599B" w:rsidRDefault="0099599B">
            <w:pPr>
              <w:spacing w:after="0" w:line="240" w:lineRule="auto"/>
              <w:rPr>
                <w:rFonts w:eastAsia="Times New Roman"/>
                <w:kern w:val="0"/>
                <w:sz w:val="20"/>
                <w:szCs w:val="20"/>
                <w14:ligatures w14:val="none"/>
              </w:rPr>
            </w:pPr>
          </w:p>
        </w:tc>
      </w:tr>
      <w:tr w:rsidR="0099599B" w14:paraId="3A43F6EE" w14:textId="77777777">
        <w:trPr>
          <w:trHeight w:val="300"/>
        </w:trPr>
        <w:tc>
          <w:tcPr>
            <w:tcW w:w="6663" w:type="dxa"/>
            <w:shd w:val="clear" w:color="000000" w:fill="B4C6E7"/>
            <w:noWrap/>
            <w:vAlign w:val="center"/>
          </w:tcPr>
          <w:p w14:paraId="7D4134C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 Not aware of climate driven risks </w:t>
            </w:r>
          </w:p>
        </w:tc>
        <w:tc>
          <w:tcPr>
            <w:tcW w:w="1814" w:type="dxa"/>
            <w:noWrap/>
            <w:vAlign w:val="center"/>
          </w:tcPr>
          <w:p w14:paraId="4992F489"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DRR</w:t>
            </w:r>
          </w:p>
        </w:tc>
        <w:tc>
          <w:tcPr>
            <w:tcW w:w="1041" w:type="dxa"/>
            <w:noWrap/>
            <w:vAlign w:val="center"/>
          </w:tcPr>
          <w:p w14:paraId="25BC0CCE"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72ECCD71" w14:textId="77777777">
        <w:trPr>
          <w:trHeight w:val="300"/>
        </w:trPr>
        <w:tc>
          <w:tcPr>
            <w:tcW w:w="6663" w:type="dxa"/>
            <w:shd w:val="clear" w:color="000000" w:fill="B4C6E7"/>
            <w:noWrap/>
            <w:vAlign w:val="center"/>
          </w:tcPr>
          <w:p w14:paraId="5C64D5D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lastRenderedPageBreak/>
              <w:t>% Respondents who received no warnings to extreme weather</w:t>
            </w:r>
          </w:p>
        </w:tc>
        <w:tc>
          <w:tcPr>
            <w:tcW w:w="1814" w:type="dxa"/>
            <w:noWrap/>
            <w:vAlign w:val="center"/>
          </w:tcPr>
          <w:p w14:paraId="236D4B1D"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32E76A7B" w14:textId="77777777" w:rsidR="0099599B" w:rsidRDefault="0099599B">
            <w:pPr>
              <w:spacing w:after="0" w:line="240" w:lineRule="auto"/>
              <w:rPr>
                <w:rFonts w:eastAsia="Times New Roman"/>
                <w:kern w:val="0"/>
                <w:sz w:val="20"/>
                <w:szCs w:val="20"/>
                <w14:ligatures w14:val="none"/>
              </w:rPr>
            </w:pPr>
          </w:p>
        </w:tc>
      </w:tr>
      <w:tr w:rsidR="0099599B" w14:paraId="4DA8D4D7" w14:textId="77777777">
        <w:trPr>
          <w:trHeight w:val="300"/>
        </w:trPr>
        <w:tc>
          <w:tcPr>
            <w:tcW w:w="6663" w:type="dxa"/>
            <w:shd w:val="clear" w:color="000000" w:fill="B4C6E7"/>
            <w:noWrap/>
            <w:vAlign w:val="center"/>
          </w:tcPr>
          <w:p w14:paraId="0192635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does not recieve information of weather information for your communication devices</w:t>
            </w:r>
          </w:p>
        </w:tc>
        <w:tc>
          <w:tcPr>
            <w:tcW w:w="1814" w:type="dxa"/>
            <w:noWrap/>
            <w:vAlign w:val="center"/>
          </w:tcPr>
          <w:p w14:paraId="67F89FE5"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81AF7FF" w14:textId="77777777" w:rsidR="0099599B" w:rsidRDefault="0099599B">
            <w:pPr>
              <w:spacing w:after="0" w:line="240" w:lineRule="auto"/>
              <w:rPr>
                <w:rFonts w:eastAsia="Times New Roman"/>
                <w:kern w:val="0"/>
                <w:sz w:val="20"/>
                <w:szCs w:val="20"/>
                <w14:ligatures w14:val="none"/>
              </w:rPr>
            </w:pPr>
          </w:p>
        </w:tc>
      </w:tr>
      <w:tr w:rsidR="0099599B" w14:paraId="49C9AC80" w14:textId="77777777">
        <w:trPr>
          <w:trHeight w:val="300"/>
        </w:trPr>
        <w:tc>
          <w:tcPr>
            <w:tcW w:w="6663" w:type="dxa"/>
            <w:shd w:val="clear" w:color="000000" w:fill="4472C4"/>
            <w:noWrap/>
            <w:vAlign w:val="center"/>
          </w:tcPr>
          <w:p w14:paraId="60FA28D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Proportion of farm under irrigation (for female farmers)</w:t>
            </w:r>
          </w:p>
        </w:tc>
        <w:tc>
          <w:tcPr>
            <w:tcW w:w="1814" w:type="dxa"/>
            <w:noWrap/>
            <w:vAlign w:val="center"/>
          </w:tcPr>
          <w:p w14:paraId="77FD15F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Food production</w:t>
            </w:r>
          </w:p>
        </w:tc>
        <w:tc>
          <w:tcPr>
            <w:tcW w:w="1041" w:type="dxa"/>
            <w:noWrap/>
            <w:vAlign w:val="center"/>
          </w:tcPr>
          <w:p w14:paraId="4341AE5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2048B840" w14:textId="77777777">
        <w:trPr>
          <w:trHeight w:val="300"/>
        </w:trPr>
        <w:tc>
          <w:tcPr>
            <w:tcW w:w="6663" w:type="dxa"/>
            <w:shd w:val="clear" w:color="000000" w:fill="4472C4"/>
            <w:noWrap/>
            <w:vAlign w:val="center"/>
          </w:tcPr>
          <w:p w14:paraId="58EB782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Farmers without access to water for dry season farming</w:t>
            </w:r>
          </w:p>
        </w:tc>
        <w:tc>
          <w:tcPr>
            <w:tcW w:w="1814" w:type="dxa"/>
            <w:noWrap/>
            <w:vAlign w:val="center"/>
          </w:tcPr>
          <w:p w14:paraId="5C6C445B"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40874401" w14:textId="77777777" w:rsidR="0099599B" w:rsidRDefault="0099599B">
            <w:pPr>
              <w:spacing w:after="0" w:line="240" w:lineRule="auto"/>
              <w:rPr>
                <w:rFonts w:eastAsia="Times New Roman"/>
                <w:kern w:val="0"/>
                <w:sz w:val="20"/>
                <w:szCs w:val="20"/>
                <w14:ligatures w14:val="none"/>
              </w:rPr>
            </w:pPr>
          </w:p>
        </w:tc>
      </w:tr>
      <w:tr w:rsidR="0099599B" w14:paraId="229DC714" w14:textId="77777777">
        <w:trPr>
          <w:trHeight w:val="300"/>
        </w:trPr>
        <w:tc>
          <w:tcPr>
            <w:tcW w:w="6663" w:type="dxa"/>
            <w:shd w:val="clear" w:color="000000" w:fill="4472C4"/>
            <w:noWrap/>
            <w:vAlign w:val="center"/>
          </w:tcPr>
          <w:p w14:paraId="20D13995"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of Total output lost as post-harvest loses (women)</w:t>
            </w:r>
          </w:p>
        </w:tc>
        <w:tc>
          <w:tcPr>
            <w:tcW w:w="1814" w:type="dxa"/>
            <w:shd w:val="clear" w:color="000000" w:fill="FFC000"/>
            <w:noWrap/>
            <w:vAlign w:val="center"/>
          </w:tcPr>
          <w:p w14:paraId="159AC3CD"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Sensitivity</w:t>
            </w:r>
          </w:p>
        </w:tc>
        <w:tc>
          <w:tcPr>
            <w:tcW w:w="1041" w:type="dxa"/>
            <w:noWrap/>
            <w:vAlign w:val="center"/>
          </w:tcPr>
          <w:p w14:paraId="6D564B90"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32</w:t>
            </w:r>
          </w:p>
        </w:tc>
      </w:tr>
      <w:tr w:rsidR="0099599B" w14:paraId="2CC8C26A" w14:textId="77777777">
        <w:trPr>
          <w:trHeight w:val="300"/>
        </w:trPr>
        <w:tc>
          <w:tcPr>
            <w:tcW w:w="6663" w:type="dxa"/>
            <w:shd w:val="clear" w:color="000000" w:fill="4472C4"/>
            <w:noWrap/>
            <w:vAlign w:val="center"/>
          </w:tcPr>
          <w:p w14:paraId="19EB162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c>
          <w:tcPr>
            <w:tcW w:w="1814" w:type="dxa"/>
            <w:shd w:val="clear" w:color="000000" w:fill="FFC000"/>
            <w:noWrap/>
            <w:vAlign w:val="center"/>
          </w:tcPr>
          <w:p w14:paraId="6ABE4988"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w:t>
            </w:r>
          </w:p>
        </w:tc>
        <w:tc>
          <w:tcPr>
            <w:tcW w:w="1041" w:type="dxa"/>
            <w:noWrap/>
            <w:vAlign w:val="center"/>
          </w:tcPr>
          <w:p w14:paraId="2117E569" w14:textId="77777777" w:rsidR="0099599B" w:rsidRDefault="0099599B">
            <w:pPr>
              <w:spacing w:after="0" w:line="240" w:lineRule="auto"/>
              <w:rPr>
                <w:rFonts w:ascii="Calibri" w:eastAsia="Times New Roman" w:hAnsi="Calibri" w:cs="Calibri"/>
                <w:b/>
                <w:bCs/>
                <w:color w:val="000000"/>
                <w:kern w:val="0"/>
                <w:sz w:val="22"/>
                <w:szCs w:val="22"/>
                <w14:ligatures w14:val="none"/>
              </w:rPr>
            </w:pPr>
          </w:p>
        </w:tc>
      </w:tr>
      <w:tr w:rsidR="0099599B" w14:paraId="617AD4EC" w14:textId="77777777">
        <w:trPr>
          <w:trHeight w:val="300"/>
        </w:trPr>
        <w:tc>
          <w:tcPr>
            <w:tcW w:w="6663" w:type="dxa"/>
            <w:shd w:val="clear" w:color="000000" w:fill="FCE4D6"/>
            <w:noWrap/>
            <w:vAlign w:val="center"/>
          </w:tcPr>
          <w:p w14:paraId="2CD72B1C"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taking care of farming tasks</w:t>
            </w:r>
          </w:p>
        </w:tc>
        <w:tc>
          <w:tcPr>
            <w:tcW w:w="1814" w:type="dxa"/>
            <w:noWrap/>
            <w:vAlign w:val="center"/>
          </w:tcPr>
          <w:p w14:paraId="559D996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Gender</w:t>
            </w:r>
          </w:p>
        </w:tc>
        <w:tc>
          <w:tcPr>
            <w:tcW w:w="1041" w:type="dxa"/>
            <w:noWrap/>
            <w:vAlign w:val="center"/>
          </w:tcPr>
          <w:p w14:paraId="1A12E228"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r>
      <w:tr w:rsidR="0099599B" w14:paraId="63ADC73D" w14:textId="77777777">
        <w:trPr>
          <w:trHeight w:val="300"/>
        </w:trPr>
        <w:tc>
          <w:tcPr>
            <w:tcW w:w="6663" w:type="dxa"/>
            <w:shd w:val="clear" w:color="000000" w:fill="FCE4D6"/>
            <w:noWrap/>
            <w:vAlign w:val="center"/>
          </w:tcPr>
          <w:p w14:paraId="40474B0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taking care of fetching water</w:t>
            </w:r>
          </w:p>
        </w:tc>
        <w:tc>
          <w:tcPr>
            <w:tcW w:w="1814" w:type="dxa"/>
            <w:noWrap/>
            <w:vAlign w:val="center"/>
          </w:tcPr>
          <w:p w14:paraId="0A156D7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3140FC4" w14:textId="77777777" w:rsidR="0099599B" w:rsidRDefault="0099599B">
            <w:pPr>
              <w:spacing w:after="0" w:line="240" w:lineRule="auto"/>
              <w:rPr>
                <w:rFonts w:eastAsia="Times New Roman"/>
                <w:kern w:val="0"/>
                <w:sz w:val="20"/>
                <w:szCs w:val="20"/>
                <w14:ligatures w14:val="none"/>
              </w:rPr>
            </w:pPr>
          </w:p>
        </w:tc>
      </w:tr>
      <w:tr w:rsidR="0099599B" w14:paraId="5CE03407" w14:textId="77777777">
        <w:trPr>
          <w:trHeight w:val="300"/>
        </w:trPr>
        <w:tc>
          <w:tcPr>
            <w:tcW w:w="6663" w:type="dxa"/>
            <w:shd w:val="clear" w:color="000000" w:fill="FCE4D6"/>
            <w:noWrap/>
            <w:vAlign w:val="center"/>
          </w:tcPr>
          <w:p w14:paraId="1CC164E0"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of women responsible for childcare</w:t>
            </w:r>
          </w:p>
        </w:tc>
        <w:tc>
          <w:tcPr>
            <w:tcW w:w="1814" w:type="dxa"/>
            <w:noWrap/>
            <w:vAlign w:val="center"/>
          </w:tcPr>
          <w:p w14:paraId="4247A69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1CDBD33" w14:textId="77777777" w:rsidR="0099599B" w:rsidRDefault="0099599B">
            <w:pPr>
              <w:spacing w:after="0" w:line="240" w:lineRule="auto"/>
              <w:rPr>
                <w:rFonts w:eastAsia="Times New Roman"/>
                <w:kern w:val="0"/>
                <w:sz w:val="20"/>
                <w:szCs w:val="20"/>
                <w14:ligatures w14:val="none"/>
              </w:rPr>
            </w:pPr>
          </w:p>
        </w:tc>
      </w:tr>
      <w:tr w:rsidR="0099599B" w14:paraId="6E1971CC" w14:textId="77777777">
        <w:trPr>
          <w:trHeight w:val="300"/>
        </w:trPr>
        <w:tc>
          <w:tcPr>
            <w:tcW w:w="6663" w:type="dxa"/>
            <w:shd w:val="clear" w:color="000000" w:fill="F8CBAD"/>
            <w:noWrap/>
            <w:vAlign w:val="center"/>
          </w:tcPr>
          <w:p w14:paraId="2038DCF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Droughts in respective communities</w:t>
            </w:r>
          </w:p>
        </w:tc>
        <w:tc>
          <w:tcPr>
            <w:tcW w:w="1814" w:type="dxa"/>
            <w:noWrap/>
            <w:vAlign w:val="center"/>
          </w:tcPr>
          <w:p w14:paraId="4081C333"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hazzards and disasters</w:t>
            </w:r>
          </w:p>
        </w:tc>
        <w:tc>
          <w:tcPr>
            <w:tcW w:w="1041" w:type="dxa"/>
            <w:noWrap/>
            <w:vAlign w:val="center"/>
          </w:tcPr>
          <w:p w14:paraId="4D2A62B4"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w:t>
            </w:r>
          </w:p>
        </w:tc>
      </w:tr>
      <w:tr w:rsidR="0099599B" w14:paraId="0D82F46B" w14:textId="77777777">
        <w:trPr>
          <w:trHeight w:val="300"/>
        </w:trPr>
        <w:tc>
          <w:tcPr>
            <w:tcW w:w="6663" w:type="dxa"/>
            <w:shd w:val="clear" w:color="000000" w:fill="F8CBAD"/>
            <w:noWrap/>
            <w:vAlign w:val="center"/>
          </w:tcPr>
          <w:p w14:paraId="612F9A37"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Extreme Floods in respective communities</w:t>
            </w:r>
          </w:p>
        </w:tc>
        <w:tc>
          <w:tcPr>
            <w:tcW w:w="1814" w:type="dxa"/>
            <w:noWrap/>
            <w:vAlign w:val="center"/>
          </w:tcPr>
          <w:p w14:paraId="7A3C1A9A"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ED571FD" w14:textId="77777777" w:rsidR="0099599B" w:rsidRDefault="0099599B">
            <w:pPr>
              <w:spacing w:after="0" w:line="240" w:lineRule="auto"/>
              <w:rPr>
                <w:rFonts w:eastAsia="Times New Roman"/>
                <w:kern w:val="0"/>
                <w:sz w:val="20"/>
                <w:szCs w:val="20"/>
                <w14:ligatures w14:val="none"/>
              </w:rPr>
            </w:pPr>
          </w:p>
        </w:tc>
      </w:tr>
      <w:tr w:rsidR="0099599B" w14:paraId="18807F09" w14:textId="77777777">
        <w:trPr>
          <w:trHeight w:val="300"/>
        </w:trPr>
        <w:tc>
          <w:tcPr>
            <w:tcW w:w="6663" w:type="dxa"/>
            <w:shd w:val="clear" w:color="000000" w:fill="F8CBAD"/>
            <w:noWrap/>
            <w:vAlign w:val="center"/>
          </w:tcPr>
          <w:p w14:paraId="73E769E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service businesses in flood prone areas</w:t>
            </w:r>
          </w:p>
        </w:tc>
        <w:tc>
          <w:tcPr>
            <w:tcW w:w="1814" w:type="dxa"/>
            <w:noWrap/>
            <w:vAlign w:val="center"/>
          </w:tcPr>
          <w:p w14:paraId="0FD7F77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3CD9E8" w14:textId="77777777" w:rsidR="0099599B" w:rsidRDefault="0099599B">
            <w:pPr>
              <w:spacing w:after="0" w:line="240" w:lineRule="auto"/>
              <w:rPr>
                <w:rFonts w:eastAsia="Times New Roman"/>
                <w:kern w:val="0"/>
                <w:sz w:val="20"/>
                <w:szCs w:val="20"/>
                <w14:ligatures w14:val="none"/>
              </w:rPr>
            </w:pPr>
          </w:p>
        </w:tc>
      </w:tr>
      <w:tr w:rsidR="0099599B" w14:paraId="4F622815" w14:textId="77777777">
        <w:trPr>
          <w:trHeight w:val="300"/>
        </w:trPr>
        <w:tc>
          <w:tcPr>
            <w:tcW w:w="6663" w:type="dxa"/>
            <w:shd w:val="clear" w:color="000000" w:fill="F8CBAD"/>
            <w:noWrap/>
            <w:vAlign w:val="center"/>
          </w:tcPr>
          <w:p w14:paraId="14964986"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forest pest and disease outbreak</w:t>
            </w:r>
          </w:p>
        </w:tc>
        <w:tc>
          <w:tcPr>
            <w:tcW w:w="1814" w:type="dxa"/>
            <w:noWrap/>
            <w:vAlign w:val="center"/>
          </w:tcPr>
          <w:p w14:paraId="648F5792"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A1F5739" w14:textId="77777777" w:rsidR="0099599B" w:rsidRDefault="0099599B">
            <w:pPr>
              <w:spacing w:after="0" w:line="240" w:lineRule="auto"/>
              <w:rPr>
                <w:rFonts w:eastAsia="Times New Roman"/>
                <w:kern w:val="0"/>
                <w:sz w:val="20"/>
                <w:szCs w:val="20"/>
                <w14:ligatures w14:val="none"/>
              </w:rPr>
            </w:pPr>
          </w:p>
        </w:tc>
      </w:tr>
      <w:tr w:rsidR="0099599B" w14:paraId="368E66B2" w14:textId="77777777">
        <w:trPr>
          <w:trHeight w:val="300"/>
        </w:trPr>
        <w:tc>
          <w:tcPr>
            <w:tcW w:w="6663" w:type="dxa"/>
            <w:shd w:val="clear" w:color="000000" w:fill="F8CBAD"/>
            <w:noWrap/>
            <w:vAlign w:val="center"/>
          </w:tcPr>
          <w:p w14:paraId="03A88992"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Number of forest fires  have occurred in this community since 10 years ago </w:t>
            </w:r>
          </w:p>
        </w:tc>
        <w:tc>
          <w:tcPr>
            <w:tcW w:w="1814" w:type="dxa"/>
            <w:noWrap/>
            <w:vAlign w:val="center"/>
          </w:tcPr>
          <w:p w14:paraId="73B254A4"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1B661709" w14:textId="77777777" w:rsidR="0099599B" w:rsidRDefault="0099599B">
            <w:pPr>
              <w:spacing w:after="0" w:line="240" w:lineRule="auto"/>
              <w:rPr>
                <w:rFonts w:eastAsia="Times New Roman"/>
                <w:kern w:val="0"/>
                <w:sz w:val="20"/>
                <w:szCs w:val="20"/>
                <w14:ligatures w14:val="none"/>
              </w:rPr>
            </w:pPr>
          </w:p>
        </w:tc>
      </w:tr>
      <w:tr w:rsidR="0099599B" w14:paraId="58E91377" w14:textId="77777777">
        <w:trPr>
          <w:trHeight w:val="300"/>
        </w:trPr>
        <w:tc>
          <w:tcPr>
            <w:tcW w:w="6663" w:type="dxa"/>
            <w:shd w:val="clear" w:color="000000" w:fill="F8CBAD"/>
            <w:noWrap/>
            <w:vAlign w:val="center"/>
          </w:tcPr>
          <w:p w14:paraId="10069DD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that have been affected by shoreline erosion, accretion or both</w:t>
            </w:r>
          </w:p>
        </w:tc>
        <w:tc>
          <w:tcPr>
            <w:tcW w:w="1814" w:type="dxa"/>
            <w:noWrap/>
            <w:vAlign w:val="center"/>
          </w:tcPr>
          <w:p w14:paraId="68E33A5E"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7043177D" w14:textId="77777777" w:rsidR="0099599B" w:rsidRDefault="0099599B">
            <w:pPr>
              <w:spacing w:after="0" w:line="240" w:lineRule="auto"/>
              <w:rPr>
                <w:rFonts w:eastAsia="Times New Roman"/>
                <w:kern w:val="0"/>
                <w:sz w:val="20"/>
                <w:szCs w:val="20"/>
                <w14:ligatures w14:val="none"/>
              </w:rPr>
            </w:pPr>
          </w:p>
        </w:tc>
      </w:tr>
      <w:tr w:rsidR="0099599B" w14:paraId="45C1F614" w14:textId="77777777">
        <w:trPr>
          <w:trHeight w:val="300"/>
        </w:trPr>
        <w:tc>
          <w:tcPr>
            <w:tcW w:w="6663" w:type="dxa"/>
            <w:shd w:val="clear" w:color="000000" w:fill="F8CBAD"/>
            <w:noWrap/>
            <w:vAlign w:val="center"/>
          </w:tcPr>
          <w:p w14:paraId="009C9C3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household affected by tidal flooding</w:t>
            </w:r>
          </w:p>
        </w:tc>
        <w:tc>
          <w:tcPr>
            <w:tcW w:w="1814" w:type="dxa"/>
            <w:noWrap/>
            <w:vAlign w:val="center"/>
          </w:tcPr>
          <w:p w14:paraId="1321B79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F8D960C" w14:textId="77777777" w:rsidR="0099599B" w:rsidRDefault="0099599B">
            <w:pPr>
              <w:spacing w:after="0" w:line="240" w:lineRule="auto"/>
              <w:rPr>
                <w:rFonts w:eastAsia="Times New Roman"/>
                <w:kern w:val="0"/>
                <w:sz w:val="20"/>
                <w:szCs w:val="20"/>
                <w14:ligatures w14:val="none"/>
              </w:rPr>
            </w:pPr>
          </w:p>
        </w:tc>
      </w:tr>
      <w:tr w:rsidR="0099599B" w14:paraId="5FB1C6A9" w14:textId="77777777">
        <w:trPr>
          <w:trHeight w:val="300"/>
        </w:trPr>
        <w:tc>
          <w:tcPr>
            <w:tcW w:w="6663" w:type="dxa"/>
            <w:shd w:val="clear" w:color="000000" w:fill="F8CBAD"/>
            <w:noWrap/>
            <w:vAlign w:val="center"/>
          </w:tcPr>
          <w:p w14:paraId="3D0A49CD"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affected by saltwater intrusion</w:t>
            </w:r>
          </w:p>
        </w:tc>
        <w:tc>
          <w:tcPr>
            <w:tcW w:w="1814" w:type="dxa"/>
            <w:noWrap/>
            <w:vAlign w:val="center"/>
          </w:tcPr>
          <w:p w14:paraId="4EBE0840"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6B4F63BA" w14:textId="77777777" w:rsidR="0099599B" w:rsidRDefault="0099599B">
            <w:pPr>
              <w:spacing w:after="0" w:line="240" w:lineRule="auto"/>
              <w:rPr>
                <w:rFonts w:eastAsia="Times New Roman"/>
                <w:kern w:val="0"/>
                <w:sz w:val="20"/>
                <w:szCs w:val="20"/>
                <w14:ligatures w14:val="none"/>
              </w:rPr>
            </w:pPr>
          </w:p>
        </w:tc>
      </w:tr>
      <w:tr w:rsidR="0099599B" w14:paraId="08997004" w14:textId="77777777">
        <w:trPr>
          <w:trHeight w:val="300"/>
        </w:trPr>
        <w:tc>
          <w:tcPr>
            <w:tcW w:w="6663" w:type="dxa"/>
            <w:shd w:val="clear" w:color="000000" w:fill="F8CBAD"/>
            <w:noWrap/>
            <w:vAlign w:val="center"/>
          </w:tcPr>
          <w:p w14:paraId="421F3768"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Female farmers with farms in flood prone areas</w:t>
            </w:r>
          </w:p>
        </w:tc>
        <w:tc>
          <w:tcPr>
            <w:tcW w:w="1814" w:type="dxa"/>
            <w:noWrap/>
            <w:vAlign w:val="center"/>
          </w:tcPr>
          <w:p w14:paraId="429D6DD8"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C8BC1E0" w14:textId="77777777" w:rsidR="0099599B" w:rsidRDefault="0099599B">
            <w:pPr>
              <w:spacing w:after="0" w:line="240" w:lineRule="auto"/>
              <w:rPr>
                <w:rFonts w:eastAsia="Times New Roman"/>
                <w:kern w:val="0"/>
                <w:sz w:val="20"/>
                <w:szCs w:val="20"/>
                <w14:ligatures w14:val="none"/>
              </w:rPr>
            </w:pPr>
          </w:p>
        </w:tc>
      </w:tr>
      <w:tr w:rsidR="0099599B" w14:paraId="58EAF3EA" w14:textId="77777777">
        <w:trPr>
          <w:trHeight w:val="300"/>
        </w:trPr>
        <w:tc>
          <w:tcPr>
            <w:tcW w:w="6663" w:type="dxa"/>
            <w:shd w:val="clear" w:color="000000" w:fill="F4B084"/>
            <w:noWrap/>
            <w:vAlign w:val="center"/>
          </w:tcPr>
          <w:p w14:paraId="016B016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Mean annual rainfall</w:t>
            </w:r>
          </w:p>
        </w:tc>
        <w:tc>
          <w:tcPr>
            <w:tcW w:w="1814" w:type="dxa"/>
            <w:noWrap/>
            <w:vAlign w:val="center"/>
          </w:tcPr>
          <w:p w14:paraId="01228061"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Climate change</w:t>
            </w:r>
          </w:p>
        </w:tc>
        <w:tc>
          <w:tcPr>
            <w:tcW w:w="1041" w:type="dxa"/>
            <w:noWrap/>
            <w:vAlign w:val="center"/>
          </w:tcPr>
          <w:p w14:paraId="23A3AB2F"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w:t>
            </w:r>
          </w:p>
        </w:tc>
      </w:tr>
      <w:tr w:rsidR="0099599B" w14:paraId="763AA642" w14:textId="77777777">
        <w:trPr>
          <w:trHeight w:val="300"/>
        </w:trPr>
        <w:tc>
          <w:tcPr>
            <w:tcW w:w="6663" w:type="dxa"/>
            <w:shd w:val="clear" w:color="000000" w:fill="F4B084"/>
            <w:noWrap/>
            <w:vAlign w:val="center"/>
          </w:tcPr>
          <w:p w14:paraId="489C2E4A"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minimum temperature</w:t>
            </w:r>
          </w:p>
        </w:tc>
        <w:tc>
          <w:tcPr>
            <w:tcW w:w="1814" w:type="dxa"/>
            <w:noWrap/>
            <w:vAlign w:val="center"/>
          </w:tcPr>
          <w:p w14:paraId="2AA8999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2119CF83" w14:textId="77777777" w:rsidR="0099599B" w:rsidRDefault="0099599B">
            <w:pPr>
              <w:spacing w:after="0" w:line="240" w:lineRule="auto"/>
              <w:rPr>
                <w:rFonts w:eastAsia="Times New Roman"/>
                <w:kern w:val="0"/>
                <w:sz w:val="20"/>
                <w:szCs w:val="20"/>
                <w14:ligatures w14:val="none"/>
              </w:rPr>
            </w:pPr>
          </w:p>
        </w:tc>
      </w:tr>
      <w:tr w:rsidR="0099599B" w14:paraId="32F5AF2C" w14:textId="77777777">
        <w:trPr>
          <w:trHeight w:val="300"/>
        </w:trPr>
        <w:tc>
          <w:tcPr>
            <w:tcW w:w="6663" w:type="dxa"/>
            <w:shd w:val="clear" w:color="000000" w:fill="F4B084"/>
            <w:noWrap/>
            <w:vAlign w:val="center"/>
          </w:tcPr>
          <w:p w14:paraId="430931BB"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Annual maximum temperature</w:t>
            </w:r>
          </w:p>
        </w:tc>
        <w:tc>
          <w:tcPr>
            <w:tcW w:w="1814" w:type="dxa"/>
            <w:noWrap/>
            <w:vAlign w:val="center"/>
          </w:tcPr>
          <w:p w14:paraId="52C5A13C"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02C74D86" w14:textId="77777777" w:rsidR="0099599B" w:rsidRDefault="0099599B">
            <w:pPr>
              <w:spacing w:after="0" w:line="240" w:lineRule="auto"/>
              <w:rPr>
                <w:rFonts w:eastAsia="Times New Roman"/>
                <w:kern w:val="0"/>
                <w:sz w:val="20"/>
                <w:szCs w:val="20"/>
                <w14:ligatures w14:val="none"/>
              </w:rPr>
            </w:pPr>
          </w:p>
        </w:tc>
      </w:tr>
      <w:tr w:rsidR="0099599B" w14:paraId="1C552C3B" w14:textId="77777777">
        <w:trPr>
          <w:trHeight w:val="300"/>
        </w:trPr>
        <w:tc>
          <w:tcPr>
            <w:tcW w:w="6663" w:type="dxa"/>
            <w:shd w:val="clear" w:color="000000" w:fill="F4B084"/>
            <w:noWrap/>
            <w:vAlign w:val="center"/>
          </w:tcPr>
          <w:p w14:paraId="164E0C3F"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Dry Days (CDD)</w:t>
            </w:r>
          </w:p>
        </w:tc>
        <w:tc>
          <w:tcPr>
            <w:tcW w:w="1814" w:type="dxa"/>
            <w:noWrap/>
            <w:vAlign w:val="center"/>
          </w:tcPr>
          <w:p w14:paraId="4B388E86" w14:textId="77777777" w:rsidR="0099599B" w:rsidRDefault="0099599B">
            <w:pPr>
              <w:spacing w:after="0" w:line="240" w:lineRule="auto"/>
              <w:rPr>
                <w:rFonts w:ascii="Calibri" w:eastAsia="Times New Roman" w:hAnsi="Calibri" w:cs="Calibri"/>
                <w:color w:val="000000"/>
                <w:kern w:val="0"/>
                <w:sz w:val="22"/>
                <w:szCs w:val="22"/>
                <w14:ligatures w14:val="none"/>
              </w:rPr>
            </w:pPr>
          </w:p>
        </w:tc>
        <w:tc>
          <w:tcPr>
            <w:tcW w:w="1041" w:type="dxa"/>
            <w:noWrap/>
            <w:vAlign w:val="center"/>
          </w:tcPr>
          <w:p w14:paraId="53C08903" w14:textId="77777777" w:rsidR="0099599B" w:rsidRDefault="0099599B">
            <w:pPr>
              <w:spacing w:after="0" w:line="240" w:lineRule="auto"/>
              <w:rPr>
                <w:rFonts w:eastAsia="Times New Roman"/>
                <w:kern w:val="0"/>
                <w:sz w:val="20"/>
                <w:szCs w:val="20"/>
                <w14:ligatures w14:val="none"/>
              </w:rPr>
            </w:pPr>
          </w:p>
        </w:tc>
      </w:tr>
      <w:tr w:rsidR="0099599B" w14:paraId="1745FE86" w14:textId="77777777">
        <w:trPr>
          <w:trHeight w:val="300"/>
        </w:trPr>
        <w:tc>
          <w:tcPr>
            <w:tcW w:w="6663" w:type="dxa"/>
            <w:shd w:val="clear" w:color="000000" w:fill="F4B084"/>
            <w:noWrap/>
            <w:vAlign w:val="center"/>
          </w:tcPr>
          <w:p w14:paraId="0A8E9BBE" w14:textId="77777777" w:rsidR="0099599B" w:rsidRDefault="00EB7A3F">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Average number of Consecutive Wet Days (CWD)</w:t>
            </w:r>
          </w:p>
        </w:tc>
        <w:tc>
          <w:tcPr>
            <w:tcW w:w="1814" w:type="dxa"/>
            <w:shd w:val="clear" w:color="000000" w:fill="FFC000"/>
            <w:noWrap/>
            <w:vAlign w:val="center"/>
          </w:tcPr>
          <w:p w14:paraId="1BF9865E" w14:textId="77777777" w:rsidR="0099599B" w:rsidRDefault="00EB7A3F">
            <w:pPr>
              <w:spacing w:after="0" w:line="240" w:lineRule="auto"/>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Exposure</w:t>
            </w:r>
          </w:p>
        </w:tc>
        <w:tc>
          <w:tcPr>
            <w:tcW w:w="1041" w:type="dxa"/>
            <w:noWrap/>
            <w:vAlign w:val="center"/>
          </w:tcPr>
          <w:p w14:paraId="4EA47C6B" w14:textId="77777777" w:rsidR="0099599B" w:rsidRDefault="00EB7A3F">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17</w:t>
            </w:r>
          </w:p>
        </w:tc>
      </w:tr>
    </w:tbl>
    <w:p w14:paraId="73421280" w14:textId="77777777" w:rsidR="0099599B" w:rsidRDefault="0099599B"/>
    <w:sectPr w:rsidR="0099599B">
      <w:footerReference w:type="default" r:id="rId49"/>
      <w:pgSz w:w="12240" w:h="15840"/>
      <w:pgMar w:top="1440" w:right="1440" w:bottom="1440" w:left="1440" w:header="720" w:footer="720"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5F12" w14:textId="77777777" w:rsidR="0099599B" w:rsidRDefault="00EB7A3F">
      <w:pPr>
        <w:spacing w:line="240" w:lineRule="auto"/>
      </w:pPr>
      <w:r>
        <w:separator/>
      </w:r>
    </w:p>
  </w:endnote>
  <w:endnote w:type="continuationSeparator" w:id="0">
    <w:p w14:paraId="2FEBECE5" w14:textId="77777777" w:rsidR="0099599B" w:rsidRDefault="00EB7A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default"/>
  </w:font>
  <w:font w:name="Agency FB">
    <w:altName w:val="苹方-简"/>
    <w:panose1 w:val="020B0503020202020204"/>
    <w:charset w:val="00"/>
    <w:family w:val="swiss"/>
    <w:pitch w:val="variable"/>
    <w:sig w:usb0="00000003" w:usb1="00000000" w:usb2="00000000" w:usb3="00000000" w:csb0="00000001" w:csb1="00000000"/>
  </w:font>
  <w:font w:name="Times New Roman Regular">
    <w:altName w:val="Times New Roman"/>
    <w:charset w:val="00"/>
    <w:family w:val="auto"/>
    <w:pitch w:val="default"/>
    <w:sig w:usb0="E0000AFF" w:usb1="00007843" w:usb2="00000001" w:usb3="00000000" w:csb0="400001BF" w:csb1="DFF70000"/>
  </w:font>
  <w:font w:name="Times New Roman Bold">
    <w:panose1 w:val="0202080307050502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265F" w14:textId="77777777" w:rsidR="0099599B" w:rsidRDefault="00995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69CF" w14:textId="77777777" w:rsidR="0099599B" w:rsidRDefault="00EB7A3F">
    <w:pPr>
      <w:pStyle w:val="Footer"/>
    </w:pPr>
    <w:r>
      <w:rPr>
        <w:noProof/>
      </w:rPr>
      <mc:AlternateContent>
        <mc:Choice Requires="wps">
          <w:drawing>
            <wp:anchor distT="0" distB="0" distL="114300" distR="114300" simplePos="0" relativeHeight="251659264" behindDoc="0" locked="0" layoutInCell="1" allowOverlap="1" wp14:anchorId="138A0E7B" wp14:editId="325A45F3">
              <wp:simplePos x="0" y="0"/>
              <wp:positionH relativeFrom="margin">
                <wp:align>center</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617A7" w14:textId="77777777" w:rsidR="0099599B" w:rsidRDefault="00EB7A3F">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Un0iAgAAYgQAAA4AAABkcnMvZTJvRG9jLnhtbK1UTY/aMBC9V+p/&#10;sHwvCVS7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3/fFf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YulJ9IgIA&#10;AGIEAAAOAAAAAAAAAAEAIAAAAB8BAABkcnMvZTJvRG9jLnhtbFBLBQYAAAAABgAGAFkBAACzBQAA&#10;AAA=&#10;">
              <v:fill on="f" focussize="0,0"/>
              <v:stroke on="f" weight="0.5pt"/>
              <v:imagedata o:title=""/>
              <o:lock v:ext="edit" aspectratio="f"/>
              <v:textbox inset="0mm,0mm,0mm,0mm" style="mso-fit-shape-to-text:t;">
                <w:txbxContent>
                  <w:p w14:paraId="645C8043">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FCE" w14:textId="77777777" w:rsidR="0099599B" w:rsidRDefault="00EB7A3F">
    <w:pPr>
      <w:pStyle w:val="Footer"/>
    </w:pPr>
    <w:r>
      <w:rPr>
        <w:noProof/>
      </w:rPr>
      <mc:AlternateContent>
        <mc:Choice Requires="wps">
          <w:drawing>
            <wp:anchor distT="0" distB="0" distL="114300" distR="114300" simplePos="0" relativeHeight="251663360" behindDoc="0" locked="0" layoutInCell="1" allowOverlap="1" wp14:anchorId="4C3A36C5" wp14:editId="705405F2">
              <wp:simplePos x="0" y="0"/>
              <wp:positionH relativeFrom="margin">
                <wp:align>center</wp:align>
              </wp:positionH>
              <wp:positionV relativeFrom="paragraph">
                <wp:posOffset>0</wp:posOffset>
              </wp:positionV>
              <wp:extent cx="1828800" cy="1828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9E578" w14:textId="77777777" w:rsidR="0099599B" w:rsidRDefault="00EB7A3F">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Qp0Y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DQQp0YhAgAA&#10;YgQAAA4AAAAAAAAAAQAgAAAAHwEAAGRycy9lMm9Eb2MueG1sUEsFBgAAAAAGAAYAWQEAALIFAAAA&#10;AA==&#10;">
              <v:fill on="f" focussize="0,0"/>
              <v:stroke on="f" weight="0.5pt"/>
              <v:imagedata o:title=""/>
              <o:lock v:ext="edit" aspectratio="f"/>
              <v:textbox inset="0mm,0mm,0mm,0mm" style="mso-fit-shape-to-text:t;">
                <w:txbxContent>
                  <w:p w14:paraId="730A8BAC">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1B69" w14:textId="77777777" w:rsidR="0099599B" w:rsidRDefault="00EB7A3F">
      <w:pPr>
        <w:spacing w:after="0"/>
      </w:pPr>
      <w:r>
        <w:separator/>
      </w:r>
    </w:p>
  </w:footnote>
  <w:footnote w:type="continuationSeparator" w:id="0">
    <w:p w14:paraId="78280B5C" w14:textId="77777777" w:rsidR="0099599B" w:rsidRDefault="00EB7A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BDBF" w14:textId="77777777" w:rsidR="0099599B" w:rsidRDefault="00995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38A336"/>
    <w:multiLevelType w:val="singleLevel"/>
    <w:tmpl w:val="9138A336"/>
    <w:lvl w:ilvl="0">
      <w:start w:val="1"/>
      <w:numFmt w:val="decimal"/>
      <w:lvlText w:val="%1."/>
      <w:lvlJc w:val="left"/>
      <w:pPr>
        <w:tabs>
          <w:tab w:val="left" w:pos="845"/>
        </w:tabs>
        <w:ind w:left="845" w:hanging="425"/>
      </w:pPr>
      <w:rPr>
        <w:rFonts w:hint="default"/>
      </w:rPr>
    </w:lvl>
  </w:abstractNum>
  <w:abstractNum w:abstractNumId="1" w15:restartNumberingAfterBreak="0">
    <w:nsid w:val="DDFA8123"/>
    <w:multiLevelType w:val="singleLevel"/>
    <w:tmpl w:val="DDFA8123"/>
    <w:lvl w:ilvl="0">
      <w:start w:val="1"/>
      <w:numFmt w:val="bullet"/>
      <w:lvlText w:val=""/>
      <w:lvlJc w:val="left"/>
      <w:pPr>
        <w:tabs>
          <w:tab w:val="left" w:pos="420"/>
        </w:tabs>
        <w:ind w:left="420" w:hanging="420"/>
      </w:pPr>
      <w:rPr>
        <w:rFonts w:ascii="Wingdings" w:hAnsi="Wingdings" w:hint="default"/>
        <w:sz w:val="16"/>
        <w:szCs w:val="16"/>
      </w:rPr>
    </w:lvl>
  </w:abstractNum>
  <w:abstractNum w:abstractNumId="2" w15:restartNumberingAfterBreak="0">
    <w:nsid w:val="DF3E8628"/>
    <w:multiLevelType w:val="singleLevel"/>
    <w:tmpl w:val="DF3E8628"/>
    <w:lvl w:ilvl="0">
      <w:start w:val="1"/>
      <w:numFmt w:val="bullet"/>
      <w:lvlText w:val=""/>
      <w:lvlJc w:val="left"/>
      <w:pPr>
        <w:tabs>
          <w:tab w:val="left" w:pos="420"/>
        </w:tabs>
        <w:ind w:left="420" w:hanging="420"/>
      </w:pPr>
      <w:rPr>
        <w:rFonts w:ascii="Wingdings" w:hAnsi="Wingdings" w:hint="default"/>
        <w:sz w:val="16"/>
        <w:szCs w:val="16"/>
      </w:rPr>
    </w:lvl>
  </w:abstractNum>
  <w:abstractNum w:abstractNumId="3" w15:restartNumberingAfterBreak="0">
    <w:nsid w:val="FFF706A1"/>
    <w:multiLevelType w:val="singleLevel"/>
    <w:tmpl w:val="FFF706A1"/>
    <w:lvl w:ilvl="0">
      <w:start w:val="1"/>
      <w:numFmt w:val="bullet"/>
      <w:lvlText w:val=""/>
      <w:lvlJc w:val="left"/>
      <w:pPr>
        <w:tabs>
          <w:tab w:val="left" w:pos="420"/>
        </w:tabs>
        <w:ind w:left="420" w:hanging="420"/>
      </w:pPr>
      <w:rPr>
        <w:rFonts w:ascii="Wingdings" w:hAnsi="Wingdings" w:hint="default"/>
        <w:sz w:val="15"/>
        <w:szCs w:val="15"/>
      </w:rPr>
    </w:lvl>
  </w:abstractNum>
  <w:abstractNum w:abstractNumId="4" w15:restartNumberingAfterBreak="0">
    <w:nsid w:val="49301161"/>
    <w:multiLevelType w:val="multilevel"/>
    <w:tmpl w:val="49301161"/>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1260" w:hanging="420"/>
      </w:pPr>
      <w:rPr>
        <w:rFonts w:ascii="Wingdings" w:hAnsi="Wingdings" w:hint="default"/>
      </w:rPr>
    </w:lvl>
    <w:lvl w:ilvl="2">
      <w:start w:val="1"/>
      <w:numFmt w:val="bullet"/>
      <w:lvlText w:val=""/>
      <w:lvlJc w:val="left"/>
      <w:pPr>
        <w:tabs>
          <w:tab w:val="left" w:pos="1260"/>
        </w:tabs>
        <w:ind w:left="1680" w:hanging="420"/>
      </w:pPr>
      <w:rPr>
        <w:rFonts w:ascii="Wingdings" w:hAnsi="Wingdings" w:hint="default"/>
      </w:rPr>
    </w:lvl>
    <w:lvl w:ilvl="3">
      <w:start w:val="1"/>
      <w:numFmt w:val="bullet"/>
      <w:lvlText w:val=""/>
      <w:lvlJc w:val="left"/>
      <w:pPr>
        <w:tabs>
          <w:tab w:val="left" w:pos="1680"/>
        </w:tabs>
        <w:ind w:left="2100" w:hanging="420"/>
      </w:pPr>
      <w:rPr>
        <w:rFonts w:ascii="Wingdings" w:hAnsi="Wingdings" w:hint="default"/>
      </w:rPr>
    </w:lvl>
    <w:lvl w:ilvl="4">
      <w:start w:val="1"/>
      <w:numFmt w:val="bullet"/>
      <w:lvlText w:val=""/>
      <w:lvlJc w:val="left"/>
      <w:pPr>
        <w:tabs>
          <w:tab w:val="left" w:pos="2100"/>
        </w:tabs>
        <w:ind w:left="2520" w:hanging="420"/>
      </w:pPr>
      <w:rPr>
        <w:rFonts w:ascii="Wingdings" w:hAnsi="Wingdings" w:hint="default"/>
      </w:rPr>
    </w:lvl>
    <w:lvl w:ilvl="5">
      <w:start w:val="1"/>
      <w:numFmt w:val="bullet"/>
      <w:lvlText w:val=""/>
      <w:lvlJc w:val="left"/>
      <w:pPr>
        <w:tabs>
          <w:tab w:val="left" w:pos="2520"/>
        </w:tabs>
        <w:ind w:left="2940" w:hanging="420"/>
      </w:pPr>
      <w:rPr>
        <w:rFonts w:ascii="Wingdings" w:hAnsi="Wingdings" w:hint="default"/>
      </w:rPr>
    </w:lvl>
    <w:lvl w:ilvl="6">
      <w:start w:val="1"/>
      <w:numFmt w:val="bullet"/>
      <w:lvlText w:val=""/>
      <w:lvlJc w:val="left"/>
      <w:pPr>
        <w:tabs>
          <w:tab w:val="left" w:pos="2940"/>
        </w:tabs>
        <w:ind w:left="3360" w:hanging="420"/>
      </w:pPr>
      <w:rPr>
        <w:rFonts w:ascii="Wingdings" w:hAnsi="Wingdings" w:hint="default"/>
      </w:rPr>
    </w:lvl>
    <w:lvl w:ilvl="7">
      <w:start w:val="1"/>
      <w:numFmt w:val="bullet"/>
      <w:lvlText w:val=""/>
      <w:lvlJc w:val="left"/>
      <w:pPr>
        <w:tabs>
          <w:tab w:val="left" w:pos="3360"/>
        </w:tabs>
        <w:ind w:left="3780" w:hanging="420"/>
      </w:pPr>
      <w:rPr>
        <w:rFonts w:ascii="Wingdings" w:hAnsi="Wingdings" w:hint="default"/>
      </w:rPr>
    </w:lvl>
    <w:lvl w:ilvl="8">
      <w:start w:val="1"/>
      <w:numFmt w:val="bullet"/>
      <w:lvlText w:val=""/>
      <w:lvlJc w:val="left"/>
      <w:pPr>
        <w:tabs>
          <w:tab w:val="left" w:pos="3780"/>
        </w:tabs>
        <w:ind w:left="4200" w:hanging="420"/>
      </w:pPr>
      <w:rPr>
        <w:rFonts w:ascii="Wingdings" w:hAnsi="Wingdings" w:hint="default"/>
      </w:rPr>
    </w:lvl>
  </w:abstractNum>
  <w:abstractNum w:abstractNumId="5" w15:restartNumberingAfterBreak="0">
    <w:nsid w:val="690D71F7"/>
    <w:multiLevelType w:val="multilevel"/>
    <w:tmpl w:val="690D71F7"/>
    <w:lvl w:ilvl="0">
      <w:start w:val="1"/>
      <w:numFmt w:val="bullet"/>
      <w:lvlText w:val=""/>
      <w:lvlJc w:val="left"/>
      <w:pPr>
        <w:ind w:left="720" w:hanging="360"/>
      </w:pPr>
      <w:rPr>
        <w:rFonts w:ascii="Wingdings" w:hAnsi="Wingdings" w:hint="default"/>
        <w:color w:val="00B0F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BA45194"/>
    <w:multiLevelType w:val="singleLevel"/>
    <w:tmpl w:val="6BA45194"/>
    <w:lvl w:ilvl="0">
      <w:start w:val="1"/>
      <w:numFmt w:val="decimal"/>
      <w:lvlText w:val="%1."/>
      <w:lvlJc w:val="left"/>
      <w:pPr>
        <w:tabs>
          <w:tab w:val="left" w:pos="425"/>
        </w:tabs>
        <w:ind w:left="425" w:hanging="425"/>
      </w:pPr>
      <w:rPr>
        <w:rFonts w:hint="default"/>
      </w:rPr>
    </w:lvl>
  </w:abstractNum>
  <w:abstractNum w:abstractNumId="7" w15:restartNumberingAfterBreak="0">
    <w:nsid w:val="6F507702"/>
    <w:multiLevelType w:val="singleLevel"/>
    <w:tmpl w:val="6F507702"/>
    <w:lvl w:ilvl="0">
      <w:start w:val="1"/>
      <w:numFmt w:val="decimal"/>
      <w:lvlText w:val="%1."/>
      <w:lvlJc w:val="left"/>
      <w:pPr>
        <w:tabs>
          <w:tab w:val="left" w:pos="425"/>
        </w:tabs>
        <w:ind w:left="425" w:hanging="425"/>
      </w:pPr>
      <w:rPr>
        <w:rFonts w:hint="default"/>
      </w:rPr>
    </w:lvl>
  </w:abstractNum>
  <w:abstractNum w:abstractNumId="8" w15:restartNumberingAfterBreak="0">
    <w:nsid w:val="7F6B4D22"/>
    <w:multiLevelType w:val="singleLevel"/>
    <w:tmpl w:val="7F6B4D22"/>
    <w:lvl w:ilvl="0">
      <w:start w:val="1"/>
      <w:numFmt w:val="decimal"/>
      <w:lvlText w:val="%1."/>
      <w:lvlJc w:val="left"/>
      <w:pPr>
        <w:tabs>
          <w:tab w:val="left" w:pos="845"/>
        </w:tabs>
        <w:ind w:left="845" w:hanging="425"/>
      </w:pPr>
      <w:rPr>
        <w:rFonts w:hint="default"/>
      </w:rPr>
    </w:lvl>
  </w:abstractNum>
  <w:abstractNum w:abstractNumId="9" w15:restartNumberingAfterBreak="0">
    <w:nsid w:val="7FE7201B"/>
    <w:multiLevelType w:val="singleLevel"/>
    <w:tmpl w:val="7FE7201B"/>
    <w:lvl w:ilvl="0">
      <w:start w:val="1"/>
      <w:numFmt w:val="lowerRoman"/>
      <w:lvlText w:val="%1."/>
      <w:lvlJc w:val="left"/>
      <w:pPr>
        <w:tabs>
          <w:tab w:val="left" w:pos="425"/>
        </w:tabs>
        <w:ind w:left="425" w:hanging="425"/>
      </w:pPr>
      <w:rPr>
        <w:rFonts w:hint="default"/>
      </w:rPr>
    </w:lvl>
  </w:abstractNum>
  <w:num w:numId="1" w16cid:durableId="2116243603">
    <w:abstractNumId w:val="3"/>
  </w:num>
  <w:num w:numId="2" w16cid:durableId="763190543">
    <w:abstractNumId w:val="8"/>
  </w:num>
  <w:num w:numId="3" w16cid:durableId="1175847773">
    <w:abstractNumId w:val="0"/>
  </w:num>
  <w:num w:numId="4" w16cid:durableId="676689469">
    <w:abstractNumId w:val="4"/>
  </w:num>
  <w:num w:numId="5" w16cid:durableId="831793430">
    <w:abstractNumId w:val="9"/>
  </w:num>
  <w:num w:numId="6" w16cid:durableId="231352852">
    <w:abstractNumId w:val="5"/>
  </w:num>
  <w:num w:numId="7" w16cid:durableId="1131827699">
    <w:abstractNumId w:val="1"/>
  </w:num>
  <w:num w:numId="8" w16cid:durableId="1709262510">
    <w:abstractNumId w:val="2"/>
  </w:num>
  <w:num w:numId="9" w16cid:durableId="1208492759">
    <w:abstractNumId w:val="7"/>
  </w:num>
  <w:num w:numId="10" w16cid:durableId="9131291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C7C"/>
    <w:rsid w:val="000104D4"/>
    <w:rsid w:val="00036C2A"/>
    <w:rsid w:val="000A1241"/>
    <w:rsid w:val="00144239"/>
    <w:rsid w:val="00192654"/>
    <w:rsid w:val="00240068"/>
    <w:rsid w:val="00372BAB"/>
    <w:rsid w:val="00391EA4"/>
    <w:rsid w:val="003F36D4"/>
    <w:rsid w:val="004F20C2"/>
    <w:rsid w:val="00592B86"/>
    <w:rsid w:val="00640997"/>
    <w:rsid w:val="006B479C"/>
    <w:rsid w:val="007070A3"/>
    <w:rsid w:val="0080046D"/>
    <w:rsid w:val="0081508C"/>
    <w:rsid w:val="008425FF"/>
    <w:rsid w:val="0086277D"/>
    <w:rsid w:val="008A5555"/>
    <w:rsid w:val="0099599B"/>
    <w:rsid w:val="009A727E"/>
    <w:rsid w:val="00AF4A44"/>
    <w:rsid w:val="00B04B20"/>
    <w:rsid w:val="00B27395"/>
    <w:rsid w:val="00B33A2A"/>
    <w:rsid w:val="00B94B25"/>
    <w:rsid w:val="00D94E81"/>
    <w:rsid w:val="00DA2801"/>
    <w:rsid w:val="00DB0685"/>
    <w:rsid w:val="00DC4D86"/>
    <w:rsid w:val="00DD7C7C"/>
    <w:rsid w:val="00EB7A3F"/>
    <w:rsid w:val="00F4522F"/>
    <w:rsid w:val="00F91EA0"/>
    <w:rsid w:val="00FD32FB"/>
    <w:rsid w:val="00FE1919"/>
    <w:rsid w:val="0531798F"/>
    <w:rsid w:val="0A412399"/>
    <w:rsid w:val="0CA81750"/>
    <w:rsid w:val="0CAA797F"/>
    <w:rsid w:val="0F722343"/>
    <w:rsid w:val="100D4EFF"/>
    <w:rsid w:val="120E648A"/>
    <w:rsid w:val="172659B3"/>
    <w:rsid w:val="175D6F52"/>
    <w:rsid w:val="19963802"/>
    <w:rsid w:val="1A35310B"/>
    <w:rsid w:val="1BE112D4"/>
    <w:rsid w:val="1EE47B84"/>
    <w:rsid w:val="21C7501A"/>
    <w:rsid w:val="267D5AB4"/>
    <w:rsid w:val="27482B40"/>
    <w:rsid w:val="292545CE"/>
    <w:rsid w:val="2BCA5C66"/>
    <w:rsid w:val="2F4905B8"/>
    <w:rsid w:val="2FD94F13"/>
    <w:rsid w:val="33326A09"/>
    <w:rsid w:val="34DA6F5E"/>
    <w:rsid w:val="36CC5CB8"/>
    <w:rsid w:val="374B6768"/>
    <w:rsid w:val="376A0F59"/>
    <w:rsid w:val="391504A2"/>
    <w:rsid w:val="39E7174C"/>
    <w:rsid w:val="3ADD00F7"/>
    <w:rsid w:val="41FB2275"/>
    <w:rsid w:val="454558E0"/>
    <w:rsid w:val="456A0F31"/>
    <w:rsid w:val="45F06528"/>
    <w:rsid w:val="482D3338"/>
    <w:rsid w:val="49092FEA"/>
    <w:rsid w:val="4BB46D99"/>
    <w:rsid w:val="5100501C"/>
    <w:rsid w:val="51CF7D67"/>
    <w:rsid w:val="579910CD"/>
    <w:rsid w:val="57F170D7"/>
    <w:rsid w:val="59AF74E5"/>
    <w:rsid w:val="5BBE7E65"/>
    <w:rsid w:val="5C4A069B"/>
    <w:rsid w:val="5DFE2546"/>
    <w:rsid w:val="60FF7A19"/>
    <w:rsid w:val="63B64AC0"/>
    <w:rsid w:val="656B36EB"/>
    <w:rsid w:val="665A1E94"/>
    <w:rsid w:val="6EA9319E"/>
    <w:rsid w:val="778979A9"/>
    <w:rsid w:val="779FAD4E"/>
    <w:rsid w:val="77FDB9BE"/>
    <w:rsid w:val="7A8B709C"/>
    <w:rsid w:val="7E5D0028"/>
    <w:rsid w:val="7E841DF8"/>
    <w:rsid w:val="7EEF0CF2"/>
    <w:rsid w:val="7EEF668B"/>
    <w:rsid w:val="ED668B80"/>
    <w:rsid w:val="FAFFB507"/>
    <w:rsid w:val="FDD10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299B2E3"/>
  <w15:docId w15:val="{6161B2E5-FA15-45C5-B7F8-375957CC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eastAsiaTheme="minorHAnsi"/>
      <w:kern w:val="2"/>
      <w:sz w:val="24"/>
      <w:szCs w:val="24"/>
      <w:lang w:val="en-US" w:eastAsia="en-US"/>
      <w14:ligatures w14:val="standardContextual"/>
    </w:rPr>
  </w:style>
  <w:style w:type="paragraph" w:styleId="Heading1">
    <w:name w:val="heading 1"/>
    <w:basedOn w:val="Normal"/>
    <w:next w:val="Normal"/>
    <w:link w:val="Heading1Char"/>
    <w:uiPriority w:val="9"/>
    <w:qFormat/>
    <w:pPr>
      <w:outlineLvl w:val="0"/>
    </w:pPr>
    <w:rPr>
      <w:b/>
      <w:bCs/>
      <w:color w:val="0000FF"/>
      <w:sz w:val="36"/>
      <w:szCs w:val="36"/>
    </w:rPr>
  </w:style>
  <w:style w:type="paragraph" w:styleId="Heading2">
    <w:name w:val="heading 2"/>
    <w:basedOn w:val="Normal"/>
    <w:next w:val="Normal"/>
    <w:link w:val="Heading2Char"/>
    <w:uiPriority w:val="9"/>
    <w:unhideWhenUsed/>
    <w:qFormat/>
    <w:pPr>
      <w:outlineLvl w:val="1"/>
    </w:pPr>
    <w:rPr>
      <w:b/>
      <w:bCs/>
      <w:color w:val="E97132" w:themeColor="accent2"/>
      <w:sz w:val="32"/>
      <w:szCs w:val="32"/>
    </w:rPr>
  </w:style>
  <w:style w:type="paragraph" w:styleId="Heading3">
    <w:name w:val="heading 3"/>
    <w:basedOn w:val="Normal"/>
    <w:next w:val="Normal"/>
    <w:link w:val="Heading3Char"/>
    <w:uiPriority w:val="9"/>
    <w:unhideWhenUsed/>
    <w:qFormat/>
    <w:pPr>
      <w:outlineLvl w:val="2"/>
    </w:pPr>
    <w:rPr>
      <w:rFonts w:ascii="Candara" w:hAnsi="Candara" w:cs="Candara"/>
      <w:b/>
      <w:bCs/>
      <w:sz w:val="28"/>
      <w:szCs w:val="28"/>
    </w:rPr>
  </w:style>
  <w:style w:type="paragraph" w:styleId="Heading4">
    <w:name w:val="heading 4"/>
    <w:basedOn w:val="Normal"/>
    <w:next w:val="Normal"/>
    <w:link w:val="Heading4Char"/>
    <w:uiPriority w:val="9"/>
    <w:unhideWhenUsed/>
    <w:qFormat/>
    <w:pPr>
      <w:outlineLvl w:val="3"/>
    </w:pPr>
    <w:rPr>
      <w:rFonts w:ascii="Candara" w:hAnsi="Candara" w:cs="Candara"/>
      <w:b/>
      <w:bCs/>
      <w:i/>
      <w:iCs/>
      <w:color w:val="47D459" w:themeColor="accent3" w:themeTint="99"/>
      <w:sz w:val="28"/>
      <w:szCs w:val="28"/>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b/>
      <w:bCs/>
      <w:color w:val="0000F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spacing w:after="0" w:line="240" w:lineRule="auto"/>
    </w:pPr>
    <w:rPr>
      <w:rFonts w:ascii="Arial MT" w:eastAsia="Arial MT" w:hAnsi="Arial MT" w:cs="Arial MT"/>
      <w:kern w:val="0"/>
      <w:sz w:val="20"/>
      <w:szCs w:val="20"/>
      <w14:ligatures w14:val="none"/>
    </w:rPr>
  </w:style>
  <w:style w:type="paragraph" w:styleId="Caption">
    <w:name w:val="caption"/>
    <w:basedOn w:val="Normal"/>
    <w:next w:val="Normal"/>
    <w:uiPriority w:val="35"/>
    <w:unhideWhenUsed/>
    <w:qFormat/>
    <w:rPr>
      <w:rFonts w:ascii="Arial" w:eastAsia="SimHei" w:hAnsi="Arial" w:cs="Arial"/>
      <w:i/>
      <w:iCs/>
      <w:color w:val="0000FF"/>
      <w:sz w:val="20"/>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u w:val="single"/>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semiHidden/>
    <w:unhideWhenUsed/>
    <w:qFormat/>
    <w:pPr>
      <w:spacing w:beforeAutospacing="1" w:after="0" w:afterAutospacing="1"/>
    </w:pPr>
    <w:rPr>
      <w:kern w:val="0"/>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ableofFigures">
    <w:name w:val="table of figures"/>
    <w:basedOn w:val="Normal"/>
    <w:next w:val="Normal"/>
    <w:uiPriority w:val="99"/>
    <w:unhideWhenUsed/>
    <w:qFormat/>
    <w:pPr>
      <w:ind w:leftChars="200" w:left="200" w:hangingChars="200" w:hanging="200"/>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Chars="200" w:left="420"/>
    </w:pPr>
  </w:style>
  <w:style w:type="character" w:customStyle="1" w:styleId="Heading1Char">
    <w:name w:val="Heading 1 Char"/>
    <w:link w:val="Heading1"/>
    <w:uiPriority w:val="9"/>
    <w:qFormat/>
    <w:rPr>
      <w:rFonts w:ascii="Times New Roman" w:eastAsiaTheme="minorHAnsi" w:hAnsi="Times New Roman" w:cs="Times New Roman"/>
      <w:b/>
      <w:bCs/>
      <w:color w:val="0000FF"/>
      <w:kern w:val="2"/>
      <w:sz w:val="36"/>
      <w:szCs w:val="36"/>
      <w:lang w:val="en-US" w:eastAsia="en-US" w:bidi="ar-SA"/>
      <w14:ligatures w14:val="standardContextual"/>
    </w:rPr>
  </w:style>
  <w:style w:type="character" w:customStyle="1" w:styleId="Heading2Char">
    <w:name w:val="Heading 2 Char"/>
    <w:link w:val="Heading2"/>
    <w:uiPriority w:val="9"/>
    <w:semiHidden/>
    <w:qFormat/>
    <w:rPr>
      <w:rFonts w:ascii="Times New Roman" w:eastAsiaTheme="minorHAnsi" w:hAnsi="Times New Roman" w:cs="Times New Roman"/>
      <w:b/>
      <w:bCs/>
      <w:color w:val="E97132" w:themeColor="accent2"/>
      <w:kern w:val="2"/>
      <w:sz w:val="32"/>
      <w:szCs w:val="32"/>
      <w:lang w:val="en-US" w:eastAsia="en-US" w:bidi="ar-SA"/>
      <w14:ligatures w14:val="standardContextual"/>
    </w:rPr>
  </w:style>
  <w:style w:type="character" w:customStyle="1" w:styleId="Heading3Char">
    <w:name w:val="Heading 3 Char"/>
    <w:link w:val="Heading3"/>
    <w:uiPriority w:val="9"/>
    <w:semiHidden/>
    <w:qFormat/>
    <w:rPr>
      <w:rFonts w:ascii="Candara" w:eastAsiaTheme="minorHAnsi" w:hAnsi="Candara" w:cs="Candara"/>
      <w:b/>
      <w:bCs/>
      <w:kern w:val="2"/>
      <w:sz w:val="28"/>
      <w:szCs w:val="28"/>
      <w:lang w:val="en-US" w:eastAsia="en-US" w:bidi="ar-SA"/>
      <w14:ligatures w14:val="standardContextual"/>
    </w:rPr>
  </w:style>
  <w:style w:type="character" w:customStyle="1" w:styleId="Heading4Char">
    <w:name w:val="Heading 4 Char"/>
    <w:link w:val="Heading4"/>
    <w:uiPriority w:val="9"/>
    <w:semiHidden/>
    <w:qFormat/>
    <w:rPr>
      <w:rFonts w:ascii="Candara" w:eastAsiaTheme="minorHAnsi" w:hAnsi="Candara" w:cs="Candara"/>
      <w:b/>
      <w:bCs/>
      <w:i/>
      <w:iCs/>
      <w:color w:val="47D459" w:themeColor="accent3" w:themeTint="99"/>
      <w:kern w:val="2"/>
      <w:sz w:val="28"/>
      <w:szCs w:val="28"/>
      <w:lang w:val="en-US" w:eastAsia="en-US" w:bidi="ar-SA"/>
      <w14:ligatures w14:val="standardContextual"/>
    </w:rPr>
  </w:style>
  <w:style w:type="character" w:customStyle="1" w:styleId="Heading5Char">
    <w:name w:val="Heading 5 Char"/>
    <w:link w:val="Heading5"/>
    <w:uiPriority w:val="9"/>
    <w:semiHidden/>
    <w:qFormat/>
    <w:rPr>
      <w:rFonts w:ascii="Times New Roman" w:eastAsiaTheme="majorEastAsia" w:hAnsi="Times New Roman" w:cstheme="majorBidi"/>
      <w:b/>
      <w:bCs/>
      <w:color w:val="0000FF"/>
      <w:kern w:val="2"/>
      <w:sz w:val="24"/>
      <w:szCs w:val="24"/>
      <w:lang w:val="en-US" w:eastAsia="en-US" w:bidi="ar-SA"/>
      <w14:ligatures w14:val="standardContextual"/>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WPSOffice1">
    <w:name w:val="WPSOffice手动目录 1"/>
    <w:qFormat/>
    <w:rPr>
      <w:rFonts w:asciiTheme="minorHAnsi" w:eastAsiaTheme="minorHAnsi" w:hAnsiTheme="minorHAnsi" w:cstheme="minorBidi"/>
      <w:lang w:val="en-US" w:eastAsia="en-US"/>
    </w:rPr>
  </w:style>
  <w:style w:type="paragraph" w:customStyle="1" w:styleId="WPSOffice2">
    <w:name w:val="WPSOffice手动目录 2"/>
    <w:qFormat/>
    <w:pPr>
      <w:ind w:leftChars="200" w:left="200"/>
    </w:pPr>
    <w:rPr>
      <w:rFonts w:asciiTheme="minorHAnsi" w:eastAsiaTheme="minorHAnsi" w:hAnsiTheme="minorHAnsi" w:cstheme="minorBidi"/>
      <w:lang w:val="en-US" w:eastAsia="en-US"/>
    </w:rPr>
  </w:style>
  <w:style w:type="table" w:customStyle="1" w:styleId="GridTable4-Accent51">
    <w:name w:val="Grid Table 4 - Accent 51"/>
    <w:basedOn w:val="TableNormal"/>
    <w:uiPriority w:val="49"/>
    <w:qFormat/>
    <w:rPr>
      <w:rFonts w:ascii="Calibri" w:eastAsia="Calibri" w:hAnsi="Calibri" w:cs="Arial"/>
      <w:kern w:val="2"/>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relative">
    <w:name w:val="relative"/>
    <w:basedOn w:val="DefaultParagraphFont"/>
    <w:qFormat/>
  </w:style>
  <w:style w:type="paragraph" w:customStyle="1" w:styleId="TableParagraph">
    <w:name w:val="Table Paragraph"/>
    <w:basedOn w:val="Normal"/>
    <w:uiPriority w:val="1"/>
    <w:qFormat/>
    <w:pPr>
      <w:widowControl w:val="0"/>
      <w:autoSpaceDE w:val="0"/>
      <w:autoSpaceDN w:val="0"/>
      <w:spacing w:after="0" w:line="240" w:lineRule="auto"/>
    </w:pPr>
    <w:rPr>
      <w:rFonts w:ascii="Carlito" w:eastAsia="Carlito" w:hAnsi="Carlito" w:cs="Carlito"/>
    </w:rPr>
  </w:style>
  <w:style w:type="paragraph" w:customStyle="1" w:styleId="msonormal0">
    <w:name w:val="msonormal"/>
    <w:basedOn w:val="Normal"/>
    <w:qFormat/>
    <w:pPr>
      <w:spacing w:before="100" w:beforeAutospacing="1" w:after="100" w:afterAutospacing="1" w:line="240" w:lineRule="auto"/>
    </w:pPr>
    <w:rPr>
      <w:rFonts w:eastAsia="Times New Roman"/>
      <w:kern w:val="0"/>
      <w14:ligatures w14:val="none"/>
    </w:rPr>
  </w:style>
  <w:style w:type="paragraph" w:customStyle="1" w:styleId="xl63">
    <w:name w:val="xl63"/>
    <w:basedOn w:val="Normal"/>
    <w:qFormat/>
    <w:pPr>
      <w:spacing w:before="100" w:beforeAutospacing="1" w:after="100" w:afterAutospacing="1" w:line="240" w:lineRule="auto"/>
      <w:textAlignment w:val="bottom"/>
    </w:pPr>
    <w:rPr>
      <w:rFonts w:eastAsia="Times New Roman"/>
      <w:kern w:val="0"/>
      <w14:ligatures w14:val="none"/>
    </w:rPr>
  </w:style>
  <w:style w:type="paragraph" w:customStyle="1" w:styleId="xl64">
    <w:name w:val="xl64"/>
    <w:basedOn w:val="Normal"/>
    <w:qFormat/>
    <w:pPr>
      <w:spacing w:before="100" w:beforeAutospacing="1" w:after="100" w:afterAutospacing="1" w:line="240" w:lineRule="auto"/>
    </w:pPr>
    <w:rPr>
      <w:rFonts w:eastAsia="Times New Roman"/>
      <w:b/>
      <w:bCs/>
      <w:kern w:val="0"/>
      <w14:ligatures w14:val="none"/>
    </w:rPr>
  </w:style>
  <w:style w:type="paragraph" w:customStyle="1" w:styleId="xl65">
    <w:name w:val="xl65"/>
    <w:basedOn w:val="Normal"/>
    <w:qFormat/>
    <w:pPr>
      <w:spacing w:before="100" w:beforeAutospacing="1" w:after="100" w:afterAutospacing="1" w:line="240" w:lineRule="auto"/>
      <w:jc w:val="center"/>
      <w:textAlignment w:val="bottom"/>
    </w:pPr>
    <w:rPr>
      <w:rFonts w:eastAsia="Times New Roman"/>
      <w:b/>
      <w:bCs/>
      <w:kern w:val="0"/>
      <w14:ligatures w14:val="none"/>
    </w:rPr>
  </w:style>
  <w:style w:type="paragraph" w:customStyle="1" w:styleId="xl66">
    <w:name w:val="xl66"/>
    <w:basedOn w:val="Normal"/>
    <w:pPr>
      <w:shd w:val="clear" w:color="000000" w:fill="E2EFDA"/>
      <w:spacing w:before="100" w:beforeAutospacing="1" w:after="100" w:afterAutospacing="1" w:line="240" w:lineRule="auto"/>
      <w:textAlignment w:val="bottom"/>
    </w:pPr>
    <w:rPr>
      <w:rFonts w:eastAsia="Times New Roman"/>
      <w:kern w:val="0"/>
      <w14:ligatures w14:val="none"/>
    </w:rPr>
  </w:style>
  <w:style w:type="paragraph" w:customStyle="1" w:styleId="xl67">
    <w:name w:val="xl67"/>
    <w:basedOn w:val="Normal"/>
    <w:qFormat/>
    <w:pPr>
      <w:shd w:val="clear" w:color="000000" w:fill="C6E0B4"/>
      <w:spacing w:before="100" w:beforeAutospacing="1" w:after="100" w:afterAutospacing="1" w:line="240" w:lineRule="auto"/>
      <w:textAlignment w:val="bottom"/>
    </w:pPr>
    <w:rPr>
      <w:rFonts w:eastAsia="Times New Roman"/>
      <w:kern w:val="0"/>
      <w14:ligatures w14:val="none"/>
    </w:rPr>
  </w:style>
  <w:style w:type="paragraph" w:customStyle="1" w:styleId="xl68">
    <w:name w:val="xl68"/>
    <w:basedOn w:val="Normal"/>
    <w:qFormat/>
    <w:pPr>
      <w:shd w:val="clear" w:color="000000" w:fill="A9D08E"/>
      <w:spacing w:before="100" w:beforeAutospacing="1" w:after="100" w:afterAutospacing="1" w:line="240" w:lineRule="auto"/>
      <w:textAlignment w:val="bottom"/>
    </w:pPr>
    <w:rPr>
      <w:rFonts w:eastAsia="Times New Roman"/>
      <w:kern w:val="0"/>
      <w14:ligatures w14:val="none"/>
    </w:rPr>
  </w:style>
  <w:style w:type="paragraph" w:customStyle="1" w:styleId="xl69">
    <w:name w:val="xl69"/>
    <w:basedOn w:val="Normal"/>
    <w:pPr>
      <w:shd w:val="clear" w:color="000000" w:fill="FFC000"/>
      <w:spacing w:before="100" w:beforeAutospacing="1" w:after="100" w:afterAutospacing="1" w:line="240" w:lineRule="auto"/>
    </w:pPr>
    <w:rPr>
      <w:rFonts w:eastAsia="Times New Roman"/>
      <w:b/>
      <w:bCs/>
      <w:kern w:val="0"/>
      <w14:ligatures w14:val="none"/>
    </w:rPr>
  </w:style>
  <w:style w:type="paragraph" w:customStyle="1" w:styleId="xl70">
    <w:name w:val="xl70"/>
    <w:basedOn w:val="Normal"/>
    <w:qFormat/>
    <w:pPr>
      <w:shd w:val="clear" w:color="000000" w:fill="DDEBF7"/>
      <w:spacing w:before="100" w:beforeAutospacing="1" w:after="100" w:afterAutospacing="1" w:line="240" w:lineRule="auto"/>
      <w:textAlignment w:val="bottom"/>
    </w:pPr>
    <w:rPr>
      <w:rFonts w:eastAsia="Times New Roman"/>
      <w:kern w:val="0"/>
      <w14:ligatures w14:val="none"/>
    </w:rPr>
  </w:style>
  <w:style w:type="paragraph" w:customStyle="1" w:styleId="xl71">
    <w:name w:val="xl71"/>
    <w:basedOn w:val="Normal"/>
    <w:qFormat/>
    <w:pPr>
      <w:shd w:val="clear" w:color="000000" w:fill="BDD7EE"/>
      <w:spacing w:before="100" w:beforeAutospacing="1" w:after="100" w:afterAutospacing="1" w:line="240" w:lineRule="auto"/>
    </w:pPr>
    <w:rPr>
      <w:rFonts w:eastAsia="Times New Roman"/>
      <w:kern w:val="0"/>
      <w14:ligatures w14:val="none"/>
    </w:rPr>
  </w:style>
  <w:style w:type="paragraph" w:customStyle="1" w:styleId="xl72">
    <w:name w:val="xl72"/>
    <w:basedOn w:val="Normal"/>
    <w:qFormat/>
    <w:pPr>
      <w:shd w:val="clear" w:color="000000" w:fill="9BC2E6"/>
      <w:spacing w:before="100" w:beforeAutospacing="1" w:after="100" w:afterAutospacing="1" w:line="240" w:lineRule="auto"/>
    </w:pPr>
    <w:rPr>
      <w:rFonts w:eastAsia="Times New Roman"/>
      <w:kern w:val="0"/>
      <w14:ligatures w14:val="none"/>
    </w:rPr>
  </w:style>
  <w:style w:type="paragraph" w:customStyle="1" w:styleId="xl73">
    <w:name w:val="xl73"/>
    <w:basedOn w:val="Normal"/>
    <w:qFormat/>
    <w:pPr>
      <w:shd w:val="clear" w:color="000000" w:fill="BDD7EE"/>
      <w:spacing w:before="100" w:beforeAutospacing="1" w:after="100" w:afterAutospacing="1" w:line="240" w:lineRule="auto"/>
      <w:textAlignment w:val="bottom"/>
    </w:pPr>
    <w:rPr>
      <w:rFonts w:eastAsia="Times New Roman"/>
      <w:kern w:val="0"/>
      <w14:ligatures w14:val="none"/>
    </w:rPr>
  </w:style>
  <w:style w:type="paragraph" w:customStyle="1" w:styleId="xl74">
    <w:name w:val="xl74"/>
    <w:basedOn w:val="Normal"/>
    <w:qFormat/>
    <w:pPr>
      <w:shd w:val="clear" w:color="000000" w:fill="FCE4D6"/>
      <w:spacing w:before="100" w:beforeAutospacing="1" w:after="100" w:afterAutospacing="1" w:line="240" w:lineRule="auto"/>
    </w:pPr>
    <w:rPr>
      <w:rFonts w:eastAsia="Times New Roman"/>
      <w:kern w:val="0"/>
      <w14:ligatures w14:val="none"/>
    </w:rPr>
  </w:style>
  <w:style w:type="paragraph" w:customStyle="1" w:styleId="xl75">
    <w:name w:val="xl75"/>
    <w:basedOn w:val="Normal"/>
    <w:pPr>
      <w:shd w:val="clear" w:color="000000" w:fill="F8CBAD"/>
      <w:spacing w:before="100" w:beforeAutospacing="1" w:after="100" w:afterAutospacing="1" w:line="240" w:lineRule="auto"/>
    </w:pPr>
    <w:rPr>
      <w:rFonts w:eastAsia="Times New Roman"/>
      <w:kern w:val="0"/>
      <w14:ligatures w14:val="none"/>
    </w:rPr>
  </w:style>
  <w:style w:type="paragraph" w:customStyle="1" w:styleId="xl76">
    <w:name w:val="xl76"/>
    <w:basedOn w:val="Normal"/>
    <w:qFormat/>
    <w:pPr>
      <w:shd w:val="clear" w:color="000000" w:fill="B4C6E7"/>
      <w:spacing w:before="100" w:beforeAutospacing="1" w:after="100" w:afterAutospacing="1" w:line="240" w:lineRule="auto"/>
    </w:pPr>
    <w:rPr>
      <w:rFonts w:eastAsia="Times New Roman"/>
      <w:kern w:val="0"/>
      <w14:ligatures w14:val="none"/>
    </w:rPr>
  </w:style>
  <w:style w:type="paragraph" w:customStyle="1" w:styleId="xl77">
    <w:name w:val="xl77"/>
    <w:basedOn w:val="Normal"/>
    <w:qFormat/>
    <w:pPr>
      <w:shd w:val="clear" w:color="000000" w:fill="8EA9DB"/>
      <w:spacing w:before="100" w:beforeAutospacing="1" w:after="100" w:afterAutospacing="1" w:line="240" w:lineRule="auto"/>
    </w:pPr>
    <w:rPr>
      <w:rFonts w:eastAsia="Times New Roman"/>
      <w:kern w:val="0"/>
      <w14:ligatures w14:val="none"/>
    </w:rPr>
  </w:style>
  <w:style w:type="paragraph" w:customStyle="1" w:styleId="xl78">
    <w:name w:val="xl78"/>
    <w:basedOn w:val="Normal"/>
    <w:pPr>
      <w:spacing w:before="100" w:beforeAutospacing="1" w:after="100" w:afterAutospacing="1" w:line="240" w:lineRule="auto"/>
      <w:jc w:val="center"/>
    </w:pPr>
    <w:rPr>
      <w:rFonts w:eastAsia="Times New Roman"/>
      <w:b/>
      <w:bCs/>
      <w:kern w:val="0"/>
      <w14:ligatures w14:val="none"/>
    </w:rPr>
  </w:style>
  <w:style w:type="paragraph" w:customStyle="1" w:styleId="xl79">
    <w:name w:val="xl79"/>
    <w:basedOn w:val="Normal"/>
    <w:pPr>
      <w:shd w:val="clear" w:color="000000" w:fill="E2EFDA"/>
      <w:spacing w:before="100" w:beforeAutospacing="1" w:after="100" w:afterAutospacing="1" w:line="240" w:lineRule="auto"/>
    </w:pPr>
    <w:rPr>
      <w:rFonts w:eastAsia="Times New Roman"/>
      <w:kern w:val="0"/>
      <w14:ligatures w14:val="none"/>
    </w:rPr>
  </w:style>
  <w:style w:type="paragraph" w:customStyle="1" w:styleId="xl80">
    <w:name w:val="xl80"/>
    <w:basedOn w:val="Normal"/>
    <w:pPr>
      <w:shd w:val="clear" w:color="000000" w:fill="C6E0B4"/>
      <w:spacing w:before="100" w:beforeAutospacing="1" w:after="100" w:afterAutospacing="1" w:line="240" w:lineRule="auto"/>
    </w:pPr>
    <w:rPr>
      <w:rFonts w:eastAsia="Times New Roman"/>
      <w:kern w:val="0"/>
      <w14:ligatures w14:val="none"/>
    </w:rPr>
  </w:style>
  <w:style w:type="paragraph" w:customStyle="1" w:styleId="xl81">
    <w:name w:val="xl81"/>
    <w:basedOn w:val="Normal"/>
    <w:qFormat/>
    <w:pPr>
      <w:shd w:val="clear" w:color="000000" w:fill="A9D08E"/>
      <w:spacing w:before="100" w:beforeAutospacing="1" w:after="100" w:afterAutospacing="1" w:line="240" w:lineRule="auto"/>
    </w:pPr>
    <w:rPr>
      <w:rFonts w:eastAsia="Times New Roman"/>
      <w:kern w:val="0"/>
      <w14:ligatures w14:val="none"/>
    </w:rPr>
  </w:style>
  <w:style w:type="paragraph" w:customStyle="1" w:styleId="xl82">
    <w:name w:val="xl82"/>
    <w:basedOn w:val="Normal"/>
    <w:pPr>
      <w:shd w:val="clear" w:color="000000" w:fill="4472C4"/>
      <w:spacing w:before="100" w:beforeAutospacing="1" w:after="100" w:afterAutospacing="1" w:line="240" w:lineRule="auto"/>
    </w:pPr>
    <w:rPr>
      <w:rFonts w:eastAsia="Times New Roman"/>
      <w:kern w:val="0"/>
      <w14:ligatures w14:val="none"/>
    </w:rPr>
  </w:style>
  <w:style w:type="paragraph" w:customStyle="1" w:styleId="xl83">
    <w:name w:val="xl83"/>
    <w:basedOn w:val="Normal"/>
    <w:pPr>
      <w:shd w:val="clear" w:color="000000" w:fill="D9E1F2"/>
      <w:spacing w:before="100" w:beforeAutospacing="1" w:after="100" w:afterAutospacing="1" w:line="240" w:lineRule="auto"/>
    </w:pPr>
    <w:rPr>
      <w:rFonts w:eastAsia="Times New Roman"/>
      <w:kern w:val="0"/>
      <w14:ligatures w14:val="none"/>
    </w:rPr>
  </w:style>
  <w:style w:type="paragraph" w:customStyle="1" w:styleId="xl84">
    <w:name w:val="xl84"/>
    <w:basedOn w:val="Normal"/>
    <w:pPr>
      <w:shd w:val="clear" w:color="000000" w:fill="00B0F0"/>
      <w:spacing w:before="100" w:beforeAutospacing="1" w:after="100" w:afterAutospacing="1" w:line="240" w:lineRule="auto"/>
    </w:pPr>
    <w:rPr>
      <w:rFonts w:eastAsia="Times New Roman"/>
      <w:kern w:val="0"/>
      <w14:ligatures w14:val="none"/>
    </w:rPr>
  </w:style>
  <w:style w:type="paragraph" w:customStyle="1" w:styleId="xl85">
    <w:name w:val="xl85"/>
    <w:basedOn w:val="Normal"/>
    <w:pPr>
      <w:shd w:val="clear" w:color="000000" w:fill="F4B084"/>
      <w:spacing w:before="100" w:beforeAutospacing="1" w:after="100" w:afterAutospacing="1" w:line="240" w:lineRule="auto"/>
    </w:pPr>
    <w:rPr>
      <w:rFonts w:eastAsia="Times New Roman"/>
      <w:kern w:val="0"/>
      <w14:ligatures w14:val="none"/>
    </w:rPr>
  </w:style>
  <w:style w:type="paragraph" w:customStyle="1" w:styleId="xl86">
    <w:name w:val="xl86"/>
    <w:basedOn w:val="Normal"/>
    <w:pPr>
      <w:shd w:val="clear" w:color="000000" w:fill="5B9BD5"/>
      <w:spacing w:before="100" w:beforeAutospacing="1" w:after="100" w:afterAutospacing="1" w:line="240" w:lineRule="auto"/>
    </w:pPr>
    <w:rPr>
      <w:rFonts w:eastAsia="Times New Roman"/>
      <w:kern w:val="0"/>
      <w14:ligatures w14:val="none"/>
    </w:rPr>
  </w:style>
  <w:style w:type="paragraph" w:customStyle="1" w:styleId="xl87">
    <w:name w:val="xl87"/>
    <w:basedOn w:val="Normal"/>
    <w:pPr>
      <w:shd w:val="clear" w:color="000000" w:fill="70AD47"/>
      <w:spacing w:before="100" w:beforeAutospacing="1" w:after="100" w:afterAutospacing="1" w:line="240" w:lineRule="auto"/>
    </w:pPr>
    <w:rPr>
      <w:rFonts w:eastAsia="Times New Roman"/>
      <w:kern w:val="0"/>
      <w14:ligatures w14:val="none"/>
    </w:rPr>
  </w:style>
  <w:style w:type="paragraph" w:customStyle="1" w:styleId="xl88">
    <w:name w:val="xl88"/>
    <w:basedOn w:val="Normal"/>
    <w:qFormat/>
    <w:pPr>
      <w:shd w:val="clear" w:color="000000" w:fill="00F86F"/>
      <w:spacing w:before="100" w:beforeAutospacing="1" w:after="100" w:afterAutospacing="1" w:line="240" w:lineRule="auto"/>
    </w:pPr>
    <w:rPr>
      <w:rFonts w:eastAsia="Times New Roman"/>
      <w:kern w:val="0"/>
      <w14:ligatures w14:val="none"/>
    </w:rPr>
  </w:style>
  <w:style w:type="paragraph" w:customStyle="1" w:styleId="xl89">
    <w:name w:val="xl89"/>
    <w:basedOn w:val="Normal"/>
    <w:qFormat/>
    <w:pPr>
      <w:spacing w:before="100" w:beforeAutospacing="1" w:after="100" w:afterAutospacing="1" w:line="240" w:lineRule="auto"/>
    </w:pPr>
    <w:rPr>
      <w:rFonts w:ascii="Calibri" w:eastAsia="Times New Roman" w:hAnsi="Calibri" w:cs="Calibri"/>
      <w:kern w:val="0"/>
      <w14:ligatures w14:val="none"/>
    </w:rPr>
  </w:style>
  <w:style w:type="paragraph" w:customStyle="1" w:styleId="xl90">
    <w:name w:val="xl90"/>
    <w:basedOn w:val="Normal"/>
    <w:qFormat/>
    <w:pPr>
      <w:shd w:val="clear" w:color="000000" w:fill="FFC000"/>
      <w:spacing w:before="100" w:beforeAutospacing="1" w:after="100" w:afterAutospacing="1" w:line="240" w:lineRule="auto"/>
    </w:pPr>
    <w:rPr>
      <w:rFonts w:ascii="Calibri" w:eastAsia="Times New Roman" w:hAnsi="Calibri" w:cs="Calibri"/>
      <w:b/>
      <w:bCs/>
      <w:kern w:val="0"/>
      <w14:ligatures w14:val="none"/>
    </w:rPr>
  </w:style>
  <w:style w:type="paragraph" w:customStyle="1" w:styleId="xl91">
    <w:name w:val="xl91"/>
    <w:basedOn w:val="Normal"/>
    <w:qFormat/>
    <w:pPr>
      <w:shd w:val="clear" w:color="000000" w:fill="F8CBAD"/>
      <w:spacing w:before="100" w:beforeAutospacing="1" w:after="100" w:afterAutospacing="1" w:line="240" w:lineRule="auto"/>
    </w:pPr>
    <w:rPr>
      <w:rFonts w:ascii="Calibri" w:eastAsia="Times New Roman" w:hAnsi="Calibri" w:cs="Calibri"/>
      <w:kern w:val="0"/>
      <w14:ligatures w14:val="none"/>
    </w:rPr>
  </w:style>
  <w:style w:type="paragraph" w:customStyle="1" w:styleId="xl92">
    <w:name w:val="xl92"/>
    <w:basedOn w:val="Normal"/>
    <w:qFormat/>
    <w:pPr>
      <w:shd w:val="clear" w:color="000000" w:fill="ACB9CA"/>
      <w:spacing w:before="100" w:beforeAutospacing="1" w:after="100" w:afterAutospacing="1" w:line="240" w:lineRule="auto"/>
    </w:pPr>
    <w:rPr>
      <w:rFonts w:eastAsia="Times New Roman"/>
      <w:kern w:val="0"/>
      <w14:ligatures w14:val="none"/>
    </w:rPr>
  </w:style>
  <w:style w:type="paragraph" w:customStyle="1" w:styleId="xl93">
    <w:name w:val="xl93"/>
    <w:basedOn w:val="Normal"/>
    <w:qFormat/>
    <w:pPr>
      <w:spacing w:before="100" w:beforeAutospacing="1" w:after="100" w:afterAutospacing="1" w:line="240" w:lineRule="auto"/>
      <w:jc w:val="center"/>
    </w:pPr>
    <w:rPr>
      <w:rFonts w:eastAsia="Times New Roman"/>
      <w:kern w:val="0"/>
      <w14:ligatures w14:val="none"/>
    </w:rPr>
  </w:style>
  <w:style w:type="table" w:customStyle="1" w:styleId="GridTable4-Accent52">
    <w:name w:val="Grid Table 4 - Accent 52"/>
    <w:basedOn w:val="TableNormal"/>
    <w:uiPriority w:val="49"/>
    <w:qFormat/>
    <w:rPr>
      <w:rFonts w:ascii="Calibri" w:eastAsia="Calibri" w:hAnsi="Calibri"/>
      <w:sz w:val="22"/>
      <w:szCs w:val="22"/>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uiPriority w:val="49"/>
    <w:tblPr>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1.xml"/><Relationship Id="rId26" Type="http://schemas.openxmlformats.org/officeDocument/2006/relationships/image" Target="media/image12.jpeg"/><Relationship Id="rId39" Type="http://schemas.openxmlformats.org/officeDocument/2006/relationships/chart" Target="charts/chart9.xml"/><Relationship Id="rId21" Type="http://schemas.openxmlformats.org/officeDocument/2006/relationships/image" Target="media/image8.jpeg"/><Relationship Id="rId34" Type="http://schemas.openxmlformats.org/officeDocument/2006/relationships/image" Target="media/image15.jpeg"/><Relationship Id="rId42" Type="http://schemas.openxmlformats.org/officeDocument/2006/relationships/image" Target="media/image19.png"/><Relationship Id="rId47" Type="http://schemas.openxmlformats.org/officeDocument/2006/relationships/hyperlink" Target="https://www.who.int/publications/i/item/WHO-Ghana-Climate-Health-Profile-2023"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4.xml"/><Relationship Id="rId11" Type="http://schemas.openxmlformats.org/officeDocument/2006/relationships/hyperlink" Target="mailto:bobmanteaw@foresightplanners.com/rmanteaw@ug.edu.gh"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image" Target="media/image22.png"/><Relationship Id="rId53"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chart" Target="charts/chart6.xml"/><Relationship Id="rId44" Type="http://schemas.openxmlformats.org/officeDocument/2006/relationships/image" Target="media/image21.png"/><Relationship Id="rId52"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relief"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16.jpeg"/><Relationship Id="rId43" Type="http://schemas.openxmlformats.org/officeDocument/2006/relationships/image" Target="media/image20.png"/><Relationship Id="rId48" Type="http://schemas.openxmlformats.org/officeDocument/2006/relationships/hyperlink" Target="https://doi.org/10.1007/s10666-023-09946-6"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image" Target="media/image14.jpeg"/><Relationship Id="rId38" Type="http://schemas.openxmlformats.org/officeDocument/2006/relationships/chart" Target="charts/chart8.xml"/><Relationship Id="rId46" Type="http://schemas.openxmlformats.org/officeDocument/2006/relationships/image" Target="media/image23.png"/><Relationship Id="rId20" Type="http://schemas.openxmlformats.org/officeDocument/2006/relationships/image" Target="media/image7.jpeg"/><Relationship Id="rId41" Type="http://schemas.openxmlformats.org/officeDocument/2006/relationships/image" Target="media/image18.png"/><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chart" Target="charts/chart3.xml"/><Relationship Id="rId36" Type="http://schemas.openxmlformats.org/officeDocument/2006/relationships/image" Target="media/image17.jpeg"/><Relationship Id="rId49"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4"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HP\AppData\Local\Temp\wps.hqUWXX\Workbook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HP\AppData\Local\Temp\wps.hqUWXX\Workbook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HP\AppData\Local\Temp\wps.hqUWXX\Workbook5.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2"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GB" sz="1400" b="1" i="0" u="none" strike="noStrike" kern="1200" baseline="0">
                <a:solidFill>
                  <a:schemeClr val="tx1">
                    <a:lumMod val="75000"/>
                    <a:lumOff val="2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r>
              <a:rPr lang="en-US" altLang="en-GB">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rPr>
              <a:t>Age Distribution </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chemeClr val="tx1">
                  <a:lumMod val="75000"/>
                  <a:lumOff val="2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en-US" altLang="en-GB"/>
        </a:p>
      </c:txPr>
    </c:title>
    <c:autoTitleDeleted val="0"/>
    <c:plotArea>
      <c:layout/>
      <c:barChart>
        <c:barDir val="bar"/>
        <c:grouping val="clustered"/>
        <c:varyColors val="0"/>
        <c:ser>
          <c:idx val="0"/>
          <c:order val="0"/>
          <c:tx>
            <c:strRef>
              <c:f>[Book4]Sheet1!$B$2</c:f>
              <c:strCache>
                <c:ptCount val="1"/>
                <c:pt idx="0">
                  <c:v>Male</c:v>
                </c:pt>
              </c:strCache>
            </c:strRef>
          </c:tx>
          <c:spPr>
            <a:solidFill>
              <a:srgbClr val="2F33E3"/>
            </a:solidFill>
            <a:ln>
              <a:noFill/>
            </a:ln>
            <a:effectLst/>
          </c:spPr>
          <c:invertIfNegative val="0"/>
          <c:cat>
            <c:strRef>
              <c:f>[Book4]Sheet1!$A$3:$A$11</c:f>
              <c:strCache>
                <c:ptCount val="9"/>
                <c:pt idx="0">
                  <c:v>80+ years</c:v>
                </c:pt>
                <c:pt idx="1">
                  <c:v>70-79 years</c:v>
                </c:pt>
                <c:pt idx="2">
                  <c:v>60-69 years</c:v>
                </c:pt>
                <c:pt idx="3">
                  <c:v>50-59 years</c:v>
                </c:pt>
                <c:pt idx="4">
                  <c:v>40-49 years</c:v>
                </c:pt>
                <c:pt idx="5">
                  <c:v>30-39 years</c:v>
                </c:pt>
                <c:pt idx="6">
                  <c:v>20-29 years</c:v>
                </c:pt>
                <c:pt idx="7">
                  <c:v>10-19 years</c:v>
                </c:pt>
                <c:pt idx="8">
                  <c:v>0-9 years</c:v>
                </c:pt>
              </c:strCache>
            </c:strRef>
          </c:cat>
          <c:val>
            <c:numRef>
              <c:f>[Book4]Sheet1!$B$3:$B$11</c:f>
              <c:numCache>
                <c:formatCode>#,##0</c:formatCode>
                <c:ptCount val="9"/>
                <c:pt idx="0">
                  <c:v>337</c:v>
                </c:pt>
                <c:pt idx="1">
                  <c:v>644</c:v>
                </c:pt>
                <c:pt idx="2" formatCode="General">
                  <c:v>1277</c:v>
                </c:pt>
                <c:pt idx="3" formatCode="General">
                  <c:v>1954</c:v>
                </c:pt>
                <c:pt idx="4" formatCode="General">
                  <c:v>2967</c:v>
                </c:pt>
                <c:pt idx="5" formatCode="General">
                  <c:v>4613</c:v>
                </c:pt>
                <c:pt idx="6" formatCode="General">
                  <c:v>6441</c:v>
                </c:pt>
                <c:pt idx="7" formatCode="General">
                  <c:v>9381</c:v>
                </c:pt>
                <c:pt idx="8" formatCode="General">
                  <c:v>9420</c:v>
                </c:pt>
              </c:numCache>
            </c:numRef>
          </c:val>
          <c:extLst>
            <c:ext xmlns:c16="http://schemas.microsoft.com/office/drawing/2014/chart" uri="{C3380CC4-5D6E-409C-BE32-E72D297353CC}">
              <c16:uniqueId val="{00000000-7EE9-4415-97D7-75A8BCCA028C}"/>
            </c:ext>
          </c:extLst>
        </c:ser>
        <c:ser>
          <c:idx val="1"/>
          <c:order val="1"/>
          <c:tx>
            <c:strRef>
              <c:f>[Book4]Sheet1!$C$2</c:f>
              <c:strCache>
                <c:ptCount val="1"/>
                <c:pt idx="0">
                  <c:v>Female</c:v>
                </c:pt>
              </c:strCache>
            </c:strRef>
          </c:tx>
          <c:spPr>
            <a:solidFill>
              <a:srgbClr val="FF0000"/>
            </a:solidFill>
            <a:ln>
              <a:noFill/>
            </a:ln>
            <a:effectLst/>
          </c:spPr>
          <c:invertIfNegative val="0"/>
          <c:cat>
            <c:strRef>
              <c:f>[Book4]Sheet1!$A$3:$A$11</c:f>
              <c:strCache>
                <c:ptCount val="9"/>
                <c:pt idx="0">
                  <c:v>80+ years</c:v>
                </c:pt>
                <c:pt idx="1">
                  <c:v>70-79 years</c:v>
                </c:pt>
                <c:pt idx="2">
                  <c:v>60-69 years</c:v>
                </c:pt>
                <c:pt idx="3">
                  <c:v>50-59 years</c:v>
                </c:pt>
                <c:pt idx="4">
                  <c:v>40-49 years</c:v>
                </c:pt>
                <c:pt idx="5">
                  <c:v>30-39 years</c:v>
                </c:pt>
                <c:pt idx="6">
                  <c:v>20-29 years</c:v>
                </c:pt>
                <c:pt idx="7">
                  <c:v>10-19 years</c:v>
                </c:pt>
                <c:pt idx="8">
                  <c:v>0-9 years</c:v>
                </c:pt>
              </c:strCache>
            </c:strRef>
          </c:cat>
          <c:val>
            <c:numRef>
              <c:f>[Book4]Sheet1!$C$3:$C$11</c:f>
              <c:numCache>
                <c:formatCode>General</c:formatCode>
                <c:ptCount val="9"/>
                <c:pt idx="0">
                  <c:v>-971</c:v>
                </c:pt>
                <c:pt idx="1">
                  <c:v>-986</c:v>
                </c:pt>
                <c:pt idx="2">
                  <c:v>-1724</c:v>
                </c:pt>
                <c:pt idx="3">
                  <c:v>-2440</c:v>
                </c:pt>
                <c:pt idx="4">
                  <c:v>-3386</c:v>
                </c:pt>
                <c:pt idx="5">
                  <c:v>-5122</c:v>
                </c:pt>
                <c:pt idx="6">
                  <c:v>-6625</c:v>
                </c:pt>
                <c:pt idx="7">
                  <c:v>-9009</c:v>
                </c:pt>
                <c:pt idx="8">
                  <c:v>-9114</c:v>
                </c:pt>
              </c:numCache>
            </c:numRef>
          </c:val>
          <c:extLst>
            <c:ext xmlns:c16="http://schemas.microsoft.com/office/drawing/2014/chart" uri="{C3380CC4-5D6E-409C-BE32-E72D297353CC}">
              <c16:uniqueId val="{00000001-7EE9-4415-97D7-75A8BCCA028C}"/>
            </c:ext>
          </c:extLst>
        </c:ser>
        <c:dLbls>
          <c:showLegendKey val="0"/>
          <c:showVal val="0"/>
          <c:showCatName val="0"/>
          <c:showSerName val="0"/>
          <c:showPercent val="0"/>
          <c:showBubbleSize val="0"/>
        </c:dLbls>
        <c:gapWidth val="4"/>
        <c:overlap val="100"/>
        <c:axId val="374611216"/>
        <c:axId val="926443968"/>
      </c:barChart>
      <c:catAx>
        <c:axId val="374611216"/>
        <c:scaling>
          <c:orientation val="maxMin"/>
        </c:scaling>
        <c:delete val="0"/>
        <c:axPos val="l"/>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GB" sz="900" b="0" i="0" u="none" strike="noStrike" kern="1200" baseline="0">
                <a:solidFill>
                  <a:schemeClr val="tx1">
                    <a:lumMod val="65000"/>
                    <a:lumOff val="3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LID4096"/>
          </a:p>
        </c:txPr>
        <c:crossAx val="926443968"/>
        <c:crosses val="autoZero"/>
        <c:auto val="1"/>
        <c:lblAlgn val="ctr"/>
        <c:lblOffset val="100"/>
        <c:noMultiLvlLbl val="0"/>
      </c:catAx>
      <c:valAx>
        <c:axId val="926443968"/>
        <c:scaling>
          <c:orientation val="minMax"/>
        </c:scaling>
        <c:delete val="0"/>
        <c:axPos val="t"/>
        <c:majorGridlines>
          <c:spPr>
            <a:ln w="9525" cap="flat" cmpd="sng" algn="ctr">
              <a:solidFill>
                <a:schemeClr val="lt1">
                  <a:lumMod val="90200"/>
                </a:schemeClr>
              </a:solidFill>
              <a:round/>
            </a:ln>
            <a:effectLst/>
          </c:spPr>
        </c:majorGridlines>
        <c:numFmt formatCode="#,##0;#,##0" sourceLinked="0"/>
        <c:majorTickMark val="none"/>
        <c:minorTickMark val="none"/>
        <c:tickLblPos val="high"/>
        <c:spPr>
          <a:noFill/>
          <a:ln>
            <a:noFill/>
          </a:ln>
          <a:effectLst/>
        </c:spPr>
        <c:txPr>
          <a:bodyPr rot="-60000000" spcFirstLastPara="0" vertOverflow="ellipsis" vert="horz" wrap="square" anchor="ctr" anchorCtr="1"/>
          <a:lstStyle/>
          <a:p>
            <a:pPr>
              <a:defRPr lang="en-GB" sz="900" b="0" i="0" u="none" strike="noStrike" kern="1200" baseline="0">
                <a:solidFill>
                  <a:schemeClr val="tx1">
                    <a:lumMod val="65000"/>
                    <a:lumOff val="3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LID4096"/>
          </a:p>
        </c:txPr>
        <c:crossAx val="37461121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n-GB" sz="900" b="0" i="0" u="none" strike="noStrike" kern="1200" baseline="0">
                <a:solidFill>
                  <a:schemeClr val="tx1">
                    <a:lumMod val="65000"/>
                    <a:lumOff val="3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LID4096"/>
          </a:p>
        </c:txPr>
      </c:legendEntry>
      <c:legendEntry>
        <c:idx val="1"/>
        <c:txPr>
          <a:bodyPr rot="0" spcFirstLastPara="0" vertOverflow="ellipsis" vert="horz" wrap="square" anchor="ctr" anchorCtr="1"/>
          <a:lstStyle/>
          <a:p>
            <a:pPr>
              <a:defRPr lang="en-GB" sz="900" b="0" i="0" u="none" strike="noStrike" kern="1200" baseline="0">
                <a:solidFill>
                  <a:schemeClr val="tx1">
                    <a:lumMod val="65000"/>
                    <a:lumOff val="3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LID4096"/>
          </a:p>
        </c:txPr>
      </c:legendEntry>
      <c:overlay val="0"/>
      <c:spPr>
        <a:noFill/>
        <a:ln>
          <a:noFill/>
        </a:ln>
        <a:effectLst/>
      </c:spPr>
      <c:txPr>
        <a:bodyPr rot="0" spcFirstLastPara="0" vertOverflow="ellipsis" vert="horz" wrap="square" anchor="ctr" anchorCtr="1"/>
        <a:lstStyle/>
        <a:p>
          <a:pPr>
            <a:defRPr lang="en-GB" sz="900" b="0" i="0" u="none" strike="noStrike" kern="1200" baseline="0">
              <a:solidFill>
                <a:schemeClr val="tx1">
                  <a:lumMod val="65000"/>
                  <a:lumOff val="35000"/>
                </a:schemeClr>
              </a:solidFill>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LID4096"/>
        </a:p>
      </c:txPr>
    </c:legend>
    <c:plotVisOnly val="1"/>
    <c:dispBlanksAs val="gap"/>
    <c:showDLblsOverMax val="0"/>
    <c:extLst>
      <c:ext uri="{0b15fc19-7d7d-44ad-8c2d-2c3a37ce22c3}">
        <chartProps xmlns="https://web.wps.cn/et/2018/main" chartId="{9a2ef19d-1e42-4610-803d-6a675111d035}"/>
      </c:ext>
    </c:extLst>
  </c:chart>
  <c:spPr>
    <a:solidFill>
      <a:schemeClr val="bg1"/>
    </a:solidFill>
    <a:ln w="9525" cap="flat" cmpd="sng" algn="ctr">
      <a:solidFill>
        <a:schemeClr val="tx1">
          <a:lumMod val="15000"/>
          <a:lumOff val="85000"/>
        </a:schemeClr>
      </a:solidFill>
      <a:round/>
    </a:ln>
    <a:effectLst/>
  </c:spPr>
  <c:txPr>
    <a:bodyPr/>
    <a:lstStyle/>
    <a:p>
      <a:pPr>
        <a:defRPr lang="en-GB">
          <a:latin typeface="Calibri" panose="020F07020304040A0204" pitchFamily="2" charset="0"/>
          <a:ea typeface="Calibri" panose="020F07020304040A0204" pitchFamily="2" charset="0"/>
          <a:cs typeface="Calibri" panose="020F07020304040A0204" pitchFamily="2" charset="0"/>
          <a:sym typeface="Calibri" panose="020F07020304040A0204" pitchFamily="2" charset="0"/>
        </a:defRPr>
      </a:pPr>
      <a:endParaRPr lang="LID4096"/>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t>Do women have equal access to the following?</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Sheet1!$AP$42</c:f>
              <c:strCache>
                <c:ptCount val="1"/>
                <c:pt idx="0">
                  <c:v>Female</c:v>
                </c:pt>
              </c:strCache>
            </c:strRef>
          </c:tx>
          <c:spPr>
            <a:solidFill>
              <a:srgbClr val="5B9BD5"/>
            </a:solidFill>
            <a:ln>
              <a:noFill/>
            </a:ln>
            <a:effectLst/>
          </c:spPr>
          <c:invertIfNegative val="0"/>
          <c:cat>
            <c:strRef>
              <c:f>Sheet1!$AQ$41:$AS$41</c:f>
              <c:strCache>
                <c:ptCount val="3"/>
                <c:pt idx="0">
                  <c:v>Land</c:v>
                </c:pt>
                <c:pt idx="1">
                  <c:v>Credit</c:v>
                </c:pt>
                <c:pt idx="2">
                  <c:v>Information</c:v>
                </c:pt>
              </c:strCache>
            </c:strRef>
          </c:cat>
          <c:val>
            <c:numRef>
              <c:f>Sheet1!$AQ$42:$AS$42</c:f>
              <c:numCache>
                <c:formatCode>General</c:formatCode>
                <c:ptCount val="3"/>
                <c:pt idx="0">
                  <c:v>2.56</c:v>
                </c:pt>
                <c:pt idx="1">
                  <c:v>24.27</c:v>
                </c:pt>
                <c:pt idx="2">
                  <c:v>5.79</c:v>
                </c:pt>
              </c:numCache>
            </c:numRef>
          </c:val>
          <c:extLst>
            <c:ext xmlns:c16="http://schemas.microsoft.com/office/drawing/2014/chart" uri="{C3380CC4-5D6E-409C-BE32-E72D297353CC}">
              <c16:uniqueId val="{00000000-1A88-4416-838B-FF1FCC1C7916}"/>
            </c:ext>
          </c:extLst>
        </c:ser>
        <c:ser>
          <c:idx val="1"/>
          <c:order val="1"/>
          <c:tx>
            <c:strRef>
              <c:f>Sheet1!$AP$43</c:f>
              <c:strCache>
                <c:ptCount val="1"/>
                <c:pt idx="0">
                  <c:v>Joint</c:v>
                </c:pt>
              </c:strCache>
            </c:strRef>
          </c:tx>
          <c:spPr>
            <a:solidFill>
              <a:srgbClr val="ED7D31"/>
            </a:solidFill>
            <a:ln>
              <a:noFill/>
            </a:ln>
            <a:effectLst/>
          </c:spPr>
          <c:invertIfNegative val="0"/>
          <c:cat>
            <c:strRef>
              <c:f>Sheet1!$AQ$41:$AS$41</c:f>
              <c:strCache>
                <c:ptCount val="3"/>
                <c:pt idx="0">
                  <c:v>Land</c:v>
                </c:pt>
                <c:pt idx="1">
                  <c:v>Credit</c:v>
                </c:pt>
                <c:pt idx="2">
                  <c:v>Information</c:v>
                </c:pt>
              </c:strCache>
            </c:strRef>
          </c:cat>
          <c:val>
            <c:numRef>
              <c:f>Sheet1!$AQ$43:$AS$43</c:f>
              <c:numCache>
                <c:formatCode>General</c:formatCode>
                <c:ptCount val="3"/>
                <c:pt idx="0">
                  <c:v>45.74</c:v>
                </c:pt>
                <c:pt idx="1">
                  <c:v>67.2</c:v>
                </c:pt>
                <c:pt idx="2">
                  <c:v>91.94</c:v>
                </c:pt>
              </c:numCache>
            </c:numRef>
          </c:val>
          <c:extLst>
            <c:ext xmlns:c16="http://schemas.microsoft.com/office/drawing/2014/chart" uri="{C3380CC4-5D6E-409C-BE32-E72D297353CC}">
              <c16:uniqueId val="{00000001-1A88-4416-838B-FF1FCC1C7916}"/>
            </c:ext>
          </c:extLst>
        </c:ser>
        <c:ser>
          <c:idx val="2"/>
          <c:order val="2"/>
          <c:tx>
            <c:strRef>
              <c:f>Sheet1!$AP$44</c:f>
              <c:strCache>
                <c:ptCount val="1"/>
                <c:pt idx="0">
                  <c:v>Male</c:v>
                </c:pt>
              </c:strCache>
            </c:strRef>
          </c:tx>
          <c:spPr>
            <a:solidFill>
              <a:srgbClr val="A5A5A5"/>
            </a:solidFill>
            <a:ln>
              <a:noFill/>
            </a:ln>
            <a:effectLst/>
          </c:spPr>
          <c:invertIfNegative val="0"/>
          <c:cat>
            <c:strRef>
              <c:f>Sheet1!$AQ$41:$AS$41</c:f>
              <c:strCache>
                <c:ptCount val="3"/>
                <c:pt idx="0">
                  <c:v>Land</c:v>
                </c:pt>
                <c:pt idx="1">
                  <c:v>Credit</c:v>
                </c:pt>
                <c:pt idx="2">
                  <c:v>Information</c:v>
                </c:pt>
              </c:strCache>
            </c:strRef>
          </c:cat>
          <c:val>
            <c:numRef>
              <c:f>Sheet1!$AQ$44:$AS$44</c:f>
              <c:numCache>
                <c:formatCode>General</c:formatCode>
                <c:ptCount val="3"/>
                <c:pt idx="0">
                  <c:v>51.7</c:v>
                </c:pt>
                <c:pt idx="1">
                  <c:v>8.5299999999999994</c:v>
                </c:pt>
                <c:pt idx="2">
                  <c:v>2.27</c:v>
                </c:pt>
              </c:numCache>
            </c:numRef>
          </c:val>
          <c:extLst>
            <c:ext xmlns:c16="http://schemas.microsoft.com/office/drawing/2014/chart" uri="{C3380CC4-5D6E-409C-BE32-E72D297353CC}">
              <c16:uniqueId val="{00000002-1A88-4416-838B-FF1FCC1C7916}"/>
            </c:ext>
          </c:extLst>
        </c:ser>
        <c:dLbls>
          <c:showLegendKey val="0"/>
          <c:showVal val="0"/>
          <c:showCatName val="0"/>
          <c:showSerName val="0"/>
          <c:showPercent val="0"/>
          <c:showBubbleSize val="0"/>
        </c:dLbls>
        <c:gapWidth val="72"/>
        <c:axId val="650538759"/>
        <c:axId val="704374538"/>
      </c:barChart>
      <c:catAx>
        <c:axId val="650538759"/>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704374538"/>
        <c:crosses val="autoZero"/>
        <c:auto val="1"/>
        <c:lblAlgn val="ctr"/>
        <c:lblOffset val="100"/>
        <c:noMultiLvlLbl val="0"/>
      </c:catAx>
      <c:valAx>
        <c:axId val="704374538"/>
        <c:scaling>
          <c:orientation val="minMax"/>
        </c:scaling>
        <c:delete val="0"/>
        <c:axPos val="l"/>
        <c:majorGridlines>
          <c:spPr>
            <a:ln w="9525" cap="flat" cmpd="sng" algn="ctr">
              <a:solidFill>
                <a:sysClr val="window" lastClr="FFFFFF">
                  <a:lumMod val="90200"/>
                </a:sys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650538759"/>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a4100a6b-4261-4e47-971b-32ae86ed521b}"/>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200" b="1" i="0" u="none" strike="noStrike" kern="1200" baseline="0">
                <a:solidFill>
                  <a:sysClr val="windowText" lastClr="000000">
                    <a:lumMod val="75000"/>
                    <a:lumOff val="25000"/>
                  </a:sysClr>
                </a:solidFill>
                <a:latin typeface="+mn-lt"/>
                <a:ea typeface="+mn-ea"/>
                <a:cs typeface="+mn-cs"/>
              </a:defRPr>
            </a:pPr>
            <a:r>
              <a:rPr lang="en-US" altLang="en-GB" sz="1200"/>
              <a:t>Level of Education</a:t>
            </a:r>
          </a:p>
        </c:rich>
      </c:tx>
      <c:overlay val="0"/>
      <c:spPr>
        <a:noFill/>
        <a:ln>
          <a:noFill/>
        </a:ln>
        <a:effectLst/>
      </c:spPr>
      <c:txPr>
        <a:bodyPr rot="0" spcFirstLastPara="0" vertOverflow="ellipsis" vert="horz" wrap="square" anchor="ctr" anchorCtr="1"/>
        <a:lstStyle/>
        <a:p>
          <a:pPr defTabSz="914400">
            <a:defRPr lang="en-GB" sz="1200" b="1" i="0" u="none" strike="noStrike" kern="1200" baseline="0">
              <a:solidFill>
                <a:sysClr val="windowText" lastClr="000000">
                  <a:lumMod val="75000"/>
                  <a:lumOff val="25000"/>
                </a:sysClr>
              </a:solidFill>
              <a:latin typeface="+mn-lt"/>
              <a:ea typeface="+mn-ea"/>
              <a:cs typeface="+mn-cs"/>
            </a:defRPr>
          </a:pPr>
          <a:endParaRPr lang="en-US" altLang="en-GB"/>
        </a:p>
      </c:txPr>
    </c:title>
    <c:autoTitleDeleted val="0"/>
    <c:plotArea>
      <c:layout>
        <c:manualLayout>
          <c:layoutTarget val="inner"/>
          <c:xMode val="edge"/>
          <c:yMode val="edge"/>
          <c:x val="8.1722547458809705E-2"/>
          <c:y val="0.13628439092172301"/>
          <c:w val="0.56841079532368"/>
          <c:h val="0.62797653234522199"/>
        </c:manualLayout>
      </c:layout>
      <c:barChart>
        <c:barDir val="col"/>
        <c:grouping val="percentStacked"/>
        <c:varyColors val="0"/>
        <c:ser>
          <c:idx val="0"/>
          <c:order val="0"/>
          <c:tx>
            <c:strRef>
              <c:f>Sheet1!$J$8</c:f>
              <c:strCache>
                <c:ptCount val="1"/>
                <c:pt idx="0">
                  <c:v>None</c:v>
                </c:pt>
              </c:strCache>
            </c:strRef>
          </c:tx>
          <c:spPr>
            <a:solidFill>
              <a:srgbClr val="5B9BD5"/>
            </a:solidFill>
            <a:ln>
              <a:solidFill>
                <a:sysClr val="window" lastClr="FFFFFF"/>
              </a:solidFill>
            </a:ln>
            <a:effectLst/>
          </c:spPr>
          <c:invertIfNegative val="0"/>
          <c:cat>
            <c:strRef>
              <c:f>Sheet1!$I$9:$I$22</c:f>
              <c:strCache>
                <c:ptCount val="14"/>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3">
                  <c:v>Total</c:v>
                </c:pt>
              </c:strCache>
            </c:strRef>
          </c:cat>
          <c:val>
            <c:numRef>
              <c:f>Sheet1!$J$9:$J$22</c:f>
              <c:numCache>
                <c:formatCode>General</c:formatCode>
                <c:ptCount val="14"/>
                <c:pt idx="0">
                  <c:v>11</c:v>
                </c:pt>
                <c:pt idx="1">
                  <c:v>21</c:v>
                </c:pt>
                <c:pt idx="2">
                  <c:v>4</c:v>
                </c:pt>
                <c:pt idx="3">
                  <c:v>13</c:v>
                </c:pt>
                <c:pt idx="4">
                  <c:v>3</c:v>
                </c:pt>
                <c:pt idx="5">
                  <c:v>5</c:v>
                </c:pt>
                <c:pt idx="6">
                  <c:v>2</c:v>
                </c:pt>
                <c:pt idx="7">
                  <c:v>8</c:v>
                </c:pt>
                <c:pt idx="8">
                  <c:v>25</c:v>
                </c:pt>
                <c:pt idx="9">
                  <c:v>6</c:v>
                </c:pt>
                <c:pt idx="10">
                  <c:v>6</c:v>
                </c:pt>
                <c:pt idx="11">
                  <c:v>5</c:v>
                </c:pt>
                <c:pt idx="13">
                  <c:v>109</c:v>
                </c:pt>
              </c:numCache>
            </c:numRef>
          </c:val>
          <c:extLst>
            <c:ext xmlns:c16="http://schemas.microsoft.com/office/drawing/2014/chart" uri="{C3380CC4-5D6E-409C-BE32-E72D297353CC}">
              <c16:uniqueId val="{00000000-AE44-4CA5-9397-5FBD530110DE}"/>
            </c:ext>
          </c:extLst>
        </c:ser>
        <c:ser>
          <c:idx val="1"/>
          <c:order val="1"/>
          <c:tx>
            <c:strRef>
              <c:f>Sheet1!$K$8</c:f>
              <c:strCache>
                <c:ptCount val="1"/>
                <c:pt idx="0">
                  <c:v>Basic  (Primary/Middle/JHS)</c:v>
                </c:pt>
              </c:strCache>
            </c:strRef>
          </c:tx>
          <c:spPr>
            <a:solidFill>
              <a:srgbClr val="ED7D31"/>
            </a:solidFill>
            <a:ln>
              <a:solidFill>
                <a:sysClr val="window" lastClr="FFFFFF"/>
              </a:solidFill>
            </a:ln>
            <a:effectLst/>
          </c:spPr>
          <c:invertIfNegative val="0"/>
          <c:cat>
            <c:strRef>
              <c:f>Sheet1!$I$9:$I$22</c:f>
              <c:strCache>
                <c:ptCount val="14"/>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3">
                  <c:v>Total</c:v>
                </c:pt>
              </c:strCache>
            </c:strRef>
          </c:cat>
          <c:val>
            <c:numRef>
              <c:f>Sheet1!$K$9:$K$22</c:f>
              <c:numCache>
                <c:formatCode>General</c:formatCode>
                <c:ptCount val="14"/>
                <c:pt idx="0">
                  <c:v>14</c:v>
                </c:pt>
                <c:pt idx="1">
                  <c:v>13</c:v>
                </c:pt>
                <c:pt idx="2">
                  <c:v>20</c:v>
                </c:pt>
                <c:pt idx="3">
                  <c:v>16</c:v>
                </c:pt>
                <c:pt idx="4">
                  <c:v>10</c:v>
                </c:pt>
                <c:pt idx="5">
                  <c:v>12</c:v>
                </c:pt>
                <c:pt idx="6">
                  <c:v>20</c:v>
                </c:pt>
                <c:pt idx="7">
                  <c:v>18</c:v>
                </c:pt>
                <c:pt idx="8">
                  <c:v>8</c:v>
                </c:pt>
                <c:pt idx="9">
                  <c:v>3</c:v>
                </c:pt>
                <c:pt idx="10">
                  <c:v>16</c:v>
                </c:pt>
                <c:pt idx="11">
                  <c:v>5</c:v>
                </c:pt>
                <c:pt idx="13">
                  <c:v>155</c:v>
                </c:pt>
              </c:numCache>
            </c:numRef>
          </c:val>
          <c:extLst>
            <c:ext xmlns:c16="http://schemas.microsoft.com/office/drawing/2014/chart" uri="{C3380CC4-5D6E-409C-BE32-E72D297353CC}">
              <c16:uniqueId val="{00000001-AE44-4CA5-9397-5FBD530110DE}"/>
            </c:ext>
          </c:extLst>
        </c:ser>
        <c:ser>
          <c:idx val="2"/>
          <c:order val="2"/>
          <c:tx>
            <c:strRef>
              <c:f>Sheet1!$L$8</c:f>
              <c:strCache>
                <c:ptCount val="1"/>
                <c:pt idx="0">
                  <c:v>Secondary  (Secondary/vocational)</c:v>
                </c:pt>
              </c:strCache>
            </c:strRef>
          </c:tx>
          <c:spPr>
            <a:solidFill>
              <a:srgbClr val="A5A5A5"/>
            </a:solidFill>
            <a:ln>
              <a:solidFill>
                <a:sysClr val="window" lastClr="FFFFFF"/>
              </a:solidFill>
            </a:ln>
            <a:effectLst/>
          </c:spPr>
          <c:invertIfNegative val="0"/>
          <c:cat>
            <c:strRef>
              <c:f>Sheet1!$I$9:$I$22</c:f>
              <c:strCache>
                <c:ptCount val="14"/>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3">
                  <c:v>Total</c:v>
                </c:pt>
              </c:strCache>
            </c:strRef>
          </c:cat>
          <c:val>
            <c:numRef>
              <c:f>Sheet1!$L$9:$L$22</c:f>
              <c:numCache>
                <c:formatCode>General</c:formatCode>
                <c:ptCount val="14"/>
                <c:pt idx="0">
                  <c:v>9</c:v>
                </c:pt>
                <c:pt idx="1">
                  <c:v>1</c:v>
                </c:pt>
                <c:pt idx="2">
                  <c:v>15</c:v>
                </c:pt>
                <c:pt idx="3">
                  <c:v>10</c:v>
                </c:pt>
                <c:pt idx="4">
                  <c:v>15</c:v>
                </c:pt>
                <c:pt idx="5">
                  <c:v>13</c:v>
                </c:pt>
                <c:pt idx="6">
                  <c:v>9</c:v>
                </c:pt>
                <c:pt idx="7">
                  <c:v>4</c:v>
                </c:pt>
                <c:pt idx="8">
                  <c:v>3</c:v>
                </c:pt>
                <c:pt idx="9">
                  <c:v>1</c:v>
                </c:pt>
                <c:pt idx="10">
                  <c:v>8</c:v>
                </c:pt>
                <c:pt idx="11">
                  <c:v>20</c:v>
                </c:pt>
                <c:pt idx="13">
                  <c:v>108</c:v>
                </c:pt>
              </c:numCache>
            </c:numRef>
          </c:val>
          <c:extLst>
            <c:ext xmlns:c16="http://schemas.microsoft.com/office/drawing/2014/chart" uri="{C3380CC4-5D6E-409C-BE32-E72D297353CC}">
              <c16:uniqueId val="{00000002-AE44-4CA5-9397-5FBD530110DE}"/>
            </c:ext>
          </c:extLst>
        </c:ser>
        <c:ser>
          <c:idx val="3"/>
          <c:order val="3"/>
          <c:tx>
            <c:strRef>
              <c:f>Sheet1!$M$8</c:f>
              <c:strCache>
                <c:ptCount val="1"/>
                <c:pt idx="0">
                  <c:v>Tertiary (Training college/Polytechnic/University)</c:v>
                </c:pt>
              </c:strCache>
            </c:strRef>
          </c:tx>
          <c:spPr>
            <a:solidFill>
              <a:srgbClr val="FFC000"/>
            </a:solidFill>
            <a:ln>
              <a:solidFill>
                <a:sysClr val="window" lastClr="FFFFFF"/>
              </a:solidFill>
            </a:ln>
            <a:effectLst/>
          </c:spPr>
          <c:invertIfNegative val="0"/>
          <c:cat>
            <c:strRef>
              <c:f>Sheet1!$I$9:$I$22</c:f>
              <c:strCache>
                <c:ptCount val="14"/>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3">
                  <c:v>Total</c:v>
                </c:pt>
              </c:strCache>
            </c:strRef>
          </c:cat>
          <c:val>
            <c:numRef>
              <c:f>Sheet1!$M$9:$M$22</c:f>
              <c:numCache>
                <c:formatCode>General</c:formatCode>
                <c:ptCount val="14"/>
                <c:pt idx="0">
                  <c:v>1</c:v>
                </c:pt>
                <c:pt idx="1">
                  <c:v>0</c:v>
                </c:pt>
                <c:pt idx="2">
                  <c:v>4</c:v>
                </c:pt>
                <c:pt idx="3">
                  <c:v>2</c:v>
                </c:pt>
                <c:pt idx="4">
                  <c:v>7</c:v>
                </c:pt>
                <c:pt idx="5">
                  <c:v>4</c:v>
                </c:pt>
                <c:pt idx="6">
                  <c:v>3</c:v>
                </c:pt>
                <c:pt idx="7">
                  <c:v>0</c:v>
                </c:pt>
                <c:pt idx="8">
                  <c:v>0</c:v>
                </c:pt>
                <c:pt idx="9">
                  <c:v>0</c:v>
                </c:pt>
                <c:pt idx="10">
                  <c:v>2</c:v>
                </c:pt>
                <c:pt idx="11">
                  <c:v>5</c:v>
                </c:pt>
                <c:pt idx="13">
                  <c:v>28</c:v>
                </c:pt>
              </c:numCache>
            </c:numRef>
          </c:val>
          <c:extLst>
            <c:ext xmlns:c16="http://schemas.microsoft.com/office/drawing/2014/chart" uri="{C3380CC4-5D6E-409C-BE32-E72D297353CC}">
              <c16:uniqueId val="{00000003-AE44-4CA5-9397-5FBD530110DE}"/>
            </c:ext>
          </c:extLst>
        </c:ser>
        <c:dLbls>
          <c:showLegendKey val="0"/>
          <c:showVal val="0"/>
          <c:showCatName val="0"/>
          <c:showSerName val="0"/>
          <c:showPercent val="0"/>
          <c:showBubbleSize val="0"/>
        </c:dLbls>
        <c:gapWidth val="55"/>
        <c:overlap val="100"/>
        <c:axId val="100682528"/>
        <c:axId val="289347428"/>
      </c:barChart>
      <c:catAx>
        <c:axId val="100682528"/>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crossAx val="289347428"/>
        <c:crosses val="autoZero"/>
        <c:auto val="1"/>
        <c:lblAlgn val="ctr"/>
        <c:lblOffset val="100"/>
        <c:noMultiLvlLbl val="0"/>
      </c:catAx>
      <c:valAx>
        <c:axId val="289347428"/>
        <c:scaling>
          <c:orientation val="minMax"/>
        </c:scaling>
        <c:delete val="0"/>
        <c:axPos val="l"/>
        <c:majorGridlines>
          <c:spPr>
            <a:ln w="9525" cap="flat" cmpd="sng" algn="ctr">
              <a:solidFill>
                <a:sysClr val="window" lastClr="FFFFFF">
                  <a:lumMod val="90200"/>
                </a:sys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crossAx val="100682528"/>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legendEntry>
      <c:legendEntry>
        <c:idx val="1"/>
        <c:txPr>
          <a:bodyPr rot="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legendEntry>
      <c:legendEntry>
        <c:idx val="2"/>
        <c:txPr>
          <a:bodyPr rot="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legendEntry>
      <c:legendEntry>
        <c:idx val="3"/>
        <c:txPr>
          <a:bodyPr rot="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legendEntry>
      <c:layout>
        <c:manualLayout>
          <c:xMode val="edge"/>
          <c:yMode val="edge"/>
          <c:x val="0.68227734792553096"/>
          <c:y val="0.26664041994750698"/>
          <c:w val="0.304865050017253"/>
          <c:h val="0.54377767484946704"/>
        </c:manualLayout>
      </c:layout>
      <c:overlay val="0"/>
      <c:spPr>
        <a:noFill/>
        <a:ln>
          <a:noFill/>
        </a:ln>
        <a:effectLst/>
      </c:spPr>
      <c:txPr>
        <a:bodyPr rot="0" spcFirstLastPara="0" vertOverflow="ellipsis" vert="horz" wrap="square" anchor="ctr" anchorCtr="1"/>
        <a:lstStyle/>
        <a:p>
          <a:pPr>
            <a:defRPr lang="en-GB" sz="10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ee09f755-82fe-44a1-8f10-5acea963444e}"/>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sz="1000"/>
      </a:pPr>
      <a:endParaRPr lang="LID4096"/>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ltLang="en-GB"/>
              <a:t>Primary Occupation</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ltLang="en-GB"/>
        </a:p>
      </c:txPr>
    </c:title>
    <c:autoTitleDeleted val="0"/>
    <c:plotArea>
      <c:layout/>
      <c:barChart>
        <c:barDir val="col"/>
        <c:grouping val="percentStacked"/>
        <c:varyColors val="0"/>
        <c:ser>
          <c:idx val="0"/>
          <c:order val="0"/>
          <c:tx>
            <c:strRef>
              <c:f>[Workbook5.xlsx]Sheet1!$M$32</c:f>
              <c:strCache>
                <c:ptCount val="1"/>
                <c:pt idx="0">
                  <c:v>Agriculture</c:v>
                </c:pt>
              </c:strCache>
            </c:strRef>
          </c:tx>
          <c:spPr>
            <a:solidFill>
              <a:srgbClr val="5B9BD5"/>
            </a:solidFill>
            <a:ln>
              <a:solidFill>
                <a:sysClr val="window" lastClr="FFFFFF"/>
              </a:solidFill>
            </a:ln>
            <a:effectLst/>
          </c:spPr>
          <c:invertIfNegative val="0"/>
          <c:cat>
            <c:strRef>
              <c:f>[Workbook5.xlsx]Sheet1!$L$33:$L$45</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Atortokope</c:v>
                </c:pt>
                <c:pt idx="11">
                  <c:v>Torgbloku</c:v>
                </c:pt>
                <c:pt idx="12">
                  <c:v>Total</c:v>
                </c:pt>
              </c:strCache>
            </c:strRef>
          </c:cat>
          <c:val>
            <c:numRef>
              <c:f>[Workbook5.xlsx]Sheet1!$M$33:$M$45</c:f>
              <c:numCache>
                <c:formatCode>General</c:formatCode>
                <c:ptCount val="13"/>
                <c:pt idx="0">
                  <c:v>0</c:v>
                </c:pt>
                <c:pt idx="1">
                  <c:v>0</c:v>
                </c:pt>
                <c:pt idx="2">
                  <c:v>0</c:v>
                </c:pt>
                <c:pt idx="3">
                  <c:v>19</c:v>
                </c:pt>
                <c:pt idx="4">
                  <c:v>15</c:v>
                </c:pt>
                <c:pt idx="5">
                  <c:v>0</c:v>
                </c:pt>
                <c:pt idx="6">
                  <c:v>19</c:v>
                </c:pt>
                <c:pt idx="7">
                  <c:v>8</c:v>
                </c:pt>
                <c:pt idx="8">
                  <c:v>5</c:v>
                </c:pt>
                <c:pt idx="9">
                  <c:v>0</c:v>
                </c:pt>
                <c:pt idx="10">
                  <c:v>4</c:v>
                </c:pt>
                <c:pt idx="11">
                  <c:v>14</c:v>
                </c:pt>
                <c:pt idx="12">
                  <c:v>84</c:v>
                </c:pt>
              </c:numCache>
            </c:numRef>
          </c:val>
          <c:extLst>
            <c:ext xmlns:c16="http://schemas.microsoft.com/office/drawing/2014/chart" uri="{C3380CC4-5D6E-409C-BE32-E72D297353CC}">
              <c16:uniqueId val="{00000000-2B38-4FCA-A68F-EE46BAFCA34A}"/>
            </c:ext>
          </c:extLst>
        </c:ser>
        <c:ser>
          <c:idx val="1"/>
          <c:order val="1"/>
          <c:tx>
            <c:strRef>
              <c:f>[Workbook5.xlsx]Sheet1!$N$32</c:f>
              <c:strCache>
                <c:ptCount val="1"/>
                <c:pt idx="0">
                  <c:v>Civil service</c:v>
                </c:pt>
              </c:strCache>
            </c:strRef>
          </c:tx>
          <c:spPr>
            <a:solidFill>
              <a:srgbClr val="ED7D31"/>
            </a:solidFill>
            <a:ln>
              <a:solidFill>
                <a:sysClr val="window" lastClr="FFFFFF"/>
              </a:solidFill>
            </a:ln>
            <a:effectLst/>
          </c:spPr>
          <c:invertIfNegative val="0"/>
          <c:cat>
            <c:strRef>
              <c:f>[Workbook5.xlsx]Sheet1!$L$33:$L$45</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Atortokope</c:v>
                </c:pt>
                <c:pt idx="11">
                  <c:v>Torgbloku</c:v>
                </c:pt>
                <c:pt idx="12">
                  <c:v>Total</c:v>
                </c:pt>
              </c:strCache>
            </c:strRef>
          </c:cat>
          <c:val>
            <c:numRef>
              <c:f>[Workbook5.xlsx]Sheet1!$N$33:$N$45</c:f>
              <c:numCache>
                <c:formatCode>General</c:formatCode>
                <c:ptCount val="13"/>
                <c:pt idx="0">
                  <c:v>1</c:v>
                </c:pt>
                <c:pt idx="1">
                  <c:v>0</c:v>
                </c:pt>
                <c:pt idx="2">
                  <c:v>5</c:v>
                </c:pt>
                <c:pt idx="3">
                  <c:v>1</c:v>
                </c:pt>
                <c:pt idx="4">
                  <c:v>7</c:v>
                </c:pt>
                <c:pt idx="5">
                  <c:v>2</c:v>
                </c:pt>
                <c:pt idx="6">
                  <c:v>1</c:v>
                </c:pt>
                <c:pt idx="7">
                  <c:v>0</c:v>
                </c:pt>
                <c:pt idx="8">
                  <c:v>0</c:v>
                </c:pt>
                <c:pt idx="9">
                  <c:v>0</c:v>
                </c:pt>
                <c:pt idx="10">
                  <c:v>4</c:v>
                </c:pt>
                <c:pt idx="11">
                  <c:v>1</c:v>
                </c:pt>
                <c:pt idx="12">
                  <c:v>22</c:v>
                </c:pt>
              </c:numCache>
            </c:numRef>
          </c:val>
          <c:extLst>
            <c:ext xmlns:c16="http://schemas.microsoft.com/office/drawing/2014/chart" uri="{C3380CC4-5D6E-409C-BE32-E72D297353CC}">
              <c16:uniqueId val="{00000001-2B38-4FCA-A68F-EE46BAFCA34A}"/>
            </c:ext>
          </c:extLst>
        </c:ser>
        <c:ser>
          <c:idx val="2"/>
          <c:order val="2"/>
          <c:tx>
            <c:strRef>
              <c:f>[Workbook5.xlsx]Sheet1!$O$32</c:f>
              <c:strCache>
                <c:ptCount val="1"/>
                <c:pt idx="0">
                  <c:v>Private sector (businessman/woman)</c:v>
                </c:pt>
              </c:strCache>
            </c:strRef>
          </c:tx>
          <c:spPr>
            <a:solidFill>
              <a:srgbClr val="A5A5A5"/>
            </a:solidFill>
            <a:ln w="6350">
              <a:solidFill>
                <a:sysClr val="window" lastClr="FFFFFF"/>
              </a:solidFill>
            </a:ln>
            <a:effectLst/>
            <a:sp3d contourW="6350"/>
          </c:spPr>
          <c:invertIfNegative val="0"/>
          <c:cat>
            <c:strRef>
              <c:f>[Workbook5.xlsx]Sheet1!$L$33:$L$45</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Atortokope</c:v>
                </c:pt>
                <c:pt idx="11">
                  <c:v>Torgbloku</c:v>
                </c:pt>
                <c:pt idx="12">
                  <c:v>Total</c:v>
                </c:pt>
              </c:strCache>
            </c:strRef>
          </c:cat>
          <c:val>
            <c:numRef>
              <c:f>[Workbook5.xlsx]Sheet1!$O$33:$O$45</c:f>
              <c:numCache>
                <c:formatCode>General</c:formatCode>
                <c:ptCount val="13"/>
                <c:pt idx="0">
                  <c:v>9</c:v>
                </c:pt>
                <c:pt idx="1">
                  <c:v>7</c:v>
                </c:pt>
                <c:pt idx="2">
                  <c:v>22</c:v>
                </c:pt>
                <c:pt idx="3">
                  <c:v>13</c:v>
                </c:pt>
                <c:pt idx="4">
                  <c:v>10</c:v>
                </c:pt>
                <c:pt idx="5">
                  <c:v>25</c:v>
                </c:pt>
                <c:pt idx="6">
                  <c:v>5</c:v>
                </c:pt>
                <c:pt idx="7">
                  <c:v>13</c:v>
                </c:pt>
                <c:pt idx="8">
                  <c:v>10</c:v>
                </c:pt>
                <c:pt idx="9">
                  <c:v>3</c:v>
                </c:pt>
                <c:pt idx="10">
                  <c:v>19</c:v>
                </c:pt>
                <c:pt idx="11">
                  <c:v>17</c:v>
                </c:pt>
                <c:pt idx="12">
                  <c:v>153</c:v>
                </c:pt>
              </c:numCache>
            </c:numRef>
          </c:val>
          <c:extLst>
            <c:ext xmlns:c16="http://schemas.microsoft.com/office/drawing/2014/chart" uri="{C3380CC4-5D6E-409C-BE32-E72D297353CC}">
              <c16:uniqueId val="{00000002-2B38-4FCA-A68F-EE46BAFCA34A}"/>
            </c:ext>
          </c:extLst>
        </c:ser>
        <c:ser>
          <c:idx val="3"/>
          <c:order val="3"/>
          <c:tx>
            <c:strRef>
              <c:f>[Workbook5.xlsx]Sheet1!$P$32</c:f>
              <c:strCache>
                <c:ptCount val="1"/>
                <c:pt idx="0">
                  <c:v>Fishing</c:v>
                </c:pt>
              </c:strCache>
            </c:strRef>
          </c:tx>
          <c:spPr>
            <a:solidFill>
              <a:srgbClr val="FFC000"/>
            </a:solidFill>
            <a:ln>
              <a:solidFill>
                <a:sysClr val="window" lastClr="FFFFFF"/>
              </a:solidFill>
            </a:ln>
            <a:effectLst/>
          </c:spPr>
          <c:invertIfNegative val="0"/>
          <c:cat>
            <c:strRef>
              <c:f>[Workbook5.xlsx]Sheet1!$L$33:$L$45</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Atortokope</c:v>
                </c:pt>
                <c:pt idx="11">
                  <c:v>Torgbloku</c:v>
                </c:pt>
                <c:pt idx="12">
                  <c:v>Total</c:v>
                </c:pt>
              </c:strCache>
            </c:strRef>
          </c:cat>
          <c:val>
            <c:numRef>
              <c:f>[Workbook5.xlsx]Sheet1!$P$33:$P$45</c:f>
              <c:numCache>
                <c:formatCode>General</c:formatCode>
                <c:ptCount val="13"/>
                <c:pt idx="0">
                  <c:v>23</c:v>
                </c:pt>
                <c:pt idx="1">
                  <c:v>28</c:v>
                </c:pt>
                <c:pt idx="2">
                  <c:v>14</c:v>
                </c:pt>
                <c:pt idx="3">
                  <c:v>4</c:v>
                </c:pt>
                <c:pt idx="4">
                  <c:v>0</c:v>
                </c:pt>
                <c:pt idx="5">
                  <c:v>0</c:v>
                </c:pt>
                <c:pt idx="6">
                  <c:v>0</c:v>
                </c:pt>
                <c:pt idx="7">
                  <c:v>4</c:v>
                </c:pt>
                <c:pt idx="8">
                  <c:v>21</c:v>
                </c:pt>
                <c:pt idx="9">
                  <c:v>4</c:v>
                </c:pt>
                <c:pt idx="10">
                  <c:v>2</c:v>
                </c:pt>
                <c:pt idx="11">
                  <c:v>0</c:v>
                </c:pt>
                <c:pt idx="12">
                  <c:v>100</c:v>
                </c:pt>
              </c:numCache>
            </c:numRef>
          </c:val>
          <c:extLst>
            <c:ext xmlns:c16="http://schemas.microsoft.com/office/drawing/2014/chart" uri="{C3380CC4-5D6E-409C-BE32-E72D297353CC}">
              <c16:uniqueId val="{00000003-2B38-4FCA-A68F-EE46BAFCA34A}"/>
            </c:ext>
          </c:extLst>
        </c:ser>
        <c:ser>
          <c:idx val="4"/>
          <c:order val="4"/>
          <c:tx>
            <c:strRef>
              <c:f>[Workbook5.xlsx]Sheet1!$Q$32</c:f>
              <c:strCache>
                <c:ptCount val="1"/>
                <c:pt idx="0">
                  <c:v>Mining (salt)</c:v>
                </c:pt>
              </c:strCache>
            </c:strRef>
          </c:tx>
          <c:spPr>
            <a:solidFill>
              <a:srgbClr val="7030A0"/>
            </a:solidFill>
            <a:ln>
              <a:solidFill>
                <a:sysClr val="window" lastClr="FFFFFF"/>
              </a:solidFill>
            </a:ln>
            <a:effectLst/>
          </c:spPr>
          <c:invertIfNegative val="0"/>
          <c:cat>
            <c:strRef>
              <c:f>[Workbook5.xlsx]Sheet1!$L$33:$L$45</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Atortokope</c:v>
                </c:pt>
                <c:pt idx="11">
                  <c:v>Torgbloku</c:v>
                </c:pt>
                <c:pt idx="12">
                  <c:v>Total</c:v>
                </c:pt>
              </c:strCache>
            </c:strRef>
          </c:cat>
          <c:val>
            <c:numRef>
              <c:f>[Workbook5.xlsx]Sheet1!$Q$33:$Q$45</c:f>
              <c:numCache>
                <c:formatCode>General</c:formatCode>
                <c:ptCount val="13"/>
                <c:pt idx="0">
                  <c:v>1</c:v>
                </c:pt>
                <c:pt idx="1">
                  <c:v>0</c:v>
                </c:pt>
                <c:pt idx="2">
                  <c:v>2</c:v>
                </c:pt>
                <c:pt idx="3">
                  <c:v>0</c:v>
                </c:pt>
                <c:pt idx="4">
                  <c:v>0</c:v>
                </c:pt>
                <c:pt idx="5">
                  <c:v>0</c:v>
                </c:pt>
                <c:pt idx="6">
                  <c:v>9</c:v>
                </c:pt>
                <c:pt idx="7">
                  <c:v>0</c:v>
                </c:pt>
                <c:pt idx="8">
                  <c:v>0</c:v>
                </c:pt>
                <c:pt idx="9">
                  <c:v>0</c:v>
                </c:pt>
                <c:pt idx="10">
                  <c:v>0</c:v>
                </c:pt>
                <c:pt idx="11">
                  <c:v>0</c:v>
                </c:pt>
                <c:pt idx="12">
                  <c:v>12</c:v>
                </c:pt>
              </c:numCache>
            </c:numRef>
          </c:val>
          <c:extLst>
            <c:ext xmlns:c16="http://schemas.microsoft.com/office/drawing/2014/chart" uri="{C3380CC4-5D6E-409C-BE32-E72D297353CC}">
              <c16:uniqueId val="{00000004-2B38-4FCA-A68F-EE46BAFCA34A}"/>
            </c:ext>
          </c:extLst>
        </c:ser>
        <c:ser>
          <c:idx val="5"/>
          <c:order val="5"/>
          <c:tx>
            <c:strRef>
              <c:f>[Workbook5.xlsx]Sheet1!$R$32</c:f>
              <c:strCache>
                <c:ptCount val="1"/>
                <c:pt idx="0">
                  <c:v>Unemployed</c:v>
                </c:pt>
              </c:strCache>
            </c:strRef>
          </c:tx>
          <c:spPr>
            <a:solidFill>
              <a:srgbClr val="70AD47"/>
            </a:solidFill>
            <a:ln>
              <a:solidFill>
                <a:sysClr val="window" lastClr="FFFFFF"/>
              </a:solidFill>
            </a:ln>
            <a:effectLst/>
          </c:spPr>
          <c:invertIfNegative val="0"/>
          <c:cat>
            <c:strRef>
              <c:f>[Workbook5.xlsx]Sheet1!$L$33:$L$45</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Atortokope</c:v>
                </c:pt>
                <c:pt idx="11">
                  <c:v>Torgbloku</c:v>
                </c:pt>
                <c:pt idx="12">
                  <c:v>Total</c:v>
                </c:pt>
              </c:strCache>
            </c:strRef>
          </c:cat>
          <c:val>
            <c:numRef>
              <c:f>[Workbook5.xlsx]Sheet1!$R$33:$R$45</c:f>
              <c:numCache>
                <c:formatCode>General</c:formatCode>
                <c:ptCount val="13"/>
                <c:pt idx="0">
                  <c:v>0</c:v>
                </c:pt>
                <c:pt idx="1">
                  <c:v>0</c:v>
                </c:pt>
                <c:pt idx="2">
                  <c:v>0</c:v>
                </c:pt>
                <c:pt idx="3">
                  <c:v>3</c:v>
                </c:pt>
                <c:pt idx="4">
                  <c:v>3</c:v>
                </c:pt>
                <c:pt idx="5">
                  <c:v>0</c:v>
                </c:pt>
                <c:pt idx="6">
                  <c:v>0</c:v>
                </c:pt>
                <c:pt idx="7">
                  <c:v>3</c:v>
                </c:pt>
                <c:pt idx="8">
                  <c:v>0</c:v>
                </c:pt>
                <c:pt idx="9">
                  <c:v>0</c:v>
                </c:pt>
                <c:pt idx="10">
                  <c:v>2</c:v>
                </c:pt>
                <c:pt idx="11">
                  <c:v>3</c:v>
                </c:pt>
                <c:pt idx="12">
                  <c:v>14</c:v>
                </c:pt>
              </c:numCache>
            </c:numRef>
          </c:val>
          <c:extLst>
            <c:ext xmlns:c16="http://schemas.microsoft.com/office/drawing/2014/chart" uri="{C3380CC4-5D6E-409C-BE32-E72D297353CC}">
              <c16:uniqueId val="{00000005-2B38-4FCA-A68F-EE46BAFCA34A}"/>
            </c:ext>
          </c:extLst>
        </c:ser>
        <c:dLbls>
          <c:showLegendKey val="0"/>
          <c:showVal val="0"/>
          <c:showCatName val="0"/>
          <c:showSerName val="0"/>
          <c:showPercent val="0"/>
          <c:showBubbleSize val="0"/>
        </c:dLbls>
        <c:gapWidth val="89"/>
        <c:overlap val="100"/>
        <c:axId val="951860390"/>
        <c:axId val="847608421"/>
      </c:barChart>
      <c:catAx>
        <c:axId val="951860390"/>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847608421"/>
        <c:crosses val="autoZero"/>
        <c:auto val="1"/>
        <c:lblAlgn val="ctr"/>
        <c:lblOffset val="100"/>
        <c:noMultiLvlLbl val="0"/>
      </c:catAx>
      <c:valAx>
        <c:axId val="847608421"/>
        <c:scaling>
          <c:orientation val="minMax"/>
        </c:scaling>
        <c:delete val="0"/>
        <c:axPos val="l"/>
        <c:majorGridlines>
          <c:spPr>
            <a:ln w="9525" cap="flat" cmpd="sng" algn="ctr">
              <a:solidFill>
                <a:sysClr val="window" lastClr="FFFFFF">
                  <a:lumMod val="90200"/>
                </a:sys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951860390"/>
        <c:crosses val="autoZero"/>
        <c:crossBetween val="between"/>
      </c:valAx>
      <c:spPr>
        <a:noFill/>
        <a:ln>
          <a:noFill/>
        </a:ln>
        <a:effectLst/>
      </c:spPr>
    </c:plotArea>
    <c:legend>
      <c:legendPos val="b"/>
      <c:layout>
        <c:manualLayout>
          <c:xMode val="edge"/>
          <c:yMode val="edge"/>
          <c:x val="0.11869587366276101"/>
          <c:y val="0.82033475783475795"/>
          <c:w val="0.82080998471726996"/>
          <c:h val="0.158297720797721"/>
        </c:manualLayout>
      </c:layout>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dac6b8b9-e8fc-435a-8e30-bdd7b7d44d57}"/>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ltLang="en-GB"/>
              <a:t>Number of Dependents</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ltLang="en-GB"/>
        </a:p>
      </c:txPr>
    </c:title>
    <c:autoTitleDeleted val="0"/>
    <c:plotArea>
      <c:layout/>
      <c:barChart>
        <c:barDir val="col"/>
        <c:grouping val="percentStacked"/>
        <c:varyColors val="0"/>
        <c:ser>
          <c:idx val="0"/>
          <c:order val="0"/>
          <c:tx>
            <c:strRef>
              <c:f>[Workbook5.xlsx]Sheet1!$O$51</c:f>
              <c:strCache>
                <c:ptCount val="1"/>
                <c:pt idx="0">
                  <c:v>2 or less dependents</c:v>
                </c:pt>
              </c:strCache>
            </c:strRef>
          </c:tx>
          <c:spPr>
            <a:solidFill>
              <a:srgbClr val="5B9BD5"/>
            </a:solidFill>
            <a:ln>
              <a:solidFill>
                <a:sysClr val="window" lastClr="FFFFFF"/>
              </a:solidFill>
            </a:ln>
            <a:effectLst/>
          </c:spPr>
          <c:invertIfNegative val="0"/>
          <c:cat>
            <c:strRef>
              <c:f>[Workbook5.xlsx]Sheet1!$N$52:$N$64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[Workbook5.xlsx]Sheet1!$O$52:$O$64</c:f>
              <c:numCache>
                <c:formatCode>General</c:formatCode>
                <c:ptCount val="13"/>
                <c:pt idx="0">
                  <c:v>6</c:v>
                </c:pt>
                <c:pt idx="1">
                  <c:v>15</c:v>
                </c:pt>
                <c:pt idx="2">
                  <c:v>1</c:v>
                </c:pt>
                <c:pt idx="3">
                  <c:v>14</c:v>
                </c:pt>
                <c:pt idx="4">
                  <c:v>3</c:v>
                </c:pt>
                <c:pt idx="5">
                  <c:v>5</c:v>
                </c:pt>
                <c:pt idx="6">
                  <c:v>3</c:v>
                </c:pt>
                <c:pt idx="7">
                  <c:v>5</c:v>
                </c:pt>
                <c:pt idx="8">
                  <c:v>9</c:v>
                </c:pt>
                <c:pt idx="9">
                  <c:v>0</c:v>
                </c:pt>
                <c:pt idx="10">
                  <c:v>6</c:v>
                </c:pt>
                <c:pt idx="11">
                  <c:v>4</c:v>
                </c:pt>
                <c:pt idx="12">
                  <c:v>71</c:v>
                </c:pt>
              </c:numCache>
            </c:numRef>
          </c:val>
          <c:extLst>
            <c:ext xmlns:c16="http://schemas.microsoft.com/office/drawing/2014/chart" uri="{C3380CC4-5D6E-409C-BE32-E72D297353CC}">
              <c16:uniqueId val="{00000000-4E1E-4DD0-87FA-E1226EFD083D}"/>
            </c:ext>
          </c:extLst>
        </c:ser>
        <c:ser>
          <c:idx val="1"/>
          <c:order val="1"/>
          <c:tx>
            <c:strRef>
              <c:f>[Workbook5.xlsx]Sheet1!$P$51</c:f>
              <c:strCache>
                <c:ptCount val="1"/>
                <c:pt idx="0">
                  <c:v>3–5 dependents</c:v>
                </c:pt>
              </c:strCache>
            </c:strRef>
          </c:tx>
          <c:spPr>
            <a:solidFill>
              <a:srgbClr val="ED7D31"/>
            </a:solidFill>
            <a:ln>
              <a:solidFill>
                <a:sysClr val="window" lastClr="FFFFFF"/>
              </a:solidFill>
            </a:ln>
            <a:effectLst/>
          </c:spPr>
          <c:invertIfNegative val="0"/>
          <c:cat>
            <c:strRef>
              <c:f>[Workbook5.xlsx]Sheet1!$N$52:$N$64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[Workbook5.xlsx]Sheet1!$P$52:$P$64</c:f>
              <c:numCache>
                <c:formatCode>General</c:formatCode>
                <c:ptCount val="13"/>
                <c:pt idx="0">
                  <c:v>6</c:v>
                </c:pt>
                <c:pt idx="1">
                  <c:v>12</c:v>
                </c:pt>
                <c:pt idx="2">
                  <c:v>15</c:v>
                </c:pt>
                <c:pt idx="3">
                  <c:v>8</c:v>
                </c:pt>
                <c:pt idx="4">
                  <c:v>5</c:v>
                </c:pt>
                <c:pt idx="5">
                  <c:v>10</c:v>
                </c:pt>
                <c:pt idx="6">
                  <c:v>9</c:v>
                </c:pt>
                <c:pt idx="7">
                  <c:v>19</c:v>
                </c:pt>
                <c:pt idx="8">
                  <c:v>15</c:v>
                </c:pt>
                <c:pt idx="9">
                  <c:v>7</c:v>
                </c:pt>
                <c:pt idx="10">
                  <c:v>14</c:v>
                </c:pt>
                <c:pt idx="11">
                  <c:v>7</c:v>
                </c:pt>
                <c:pt idx="12">
                  <c:v>127</c:v>
                </c:pt>
              </c:numCache>
            </c:numRef>
          </c:val>
          <c:extLst>
            <c:ext xmlns:c16="http://schemas.microsoft.com/office/drawing/2014/chart" uri="{C3380CC4-5D6E-409C-BE32-E72D297353CC}">
              <c16:uniqueId val="{00000001-4E1E-4DD0-87FA-E1226EFD083D}"/>
            </c:ext>
          </c:extLst>
        </c:ser>
        <c:ser>
          <c:idx val="2"/>
          <c:order val="2"/>
          <c:tx>
            <c:strRef>
              <c:f>[Workbook5.xlsx]Sheet1!$Q$51</c:f>
              <c:strCache>
                <c:ptCount val="1"/>
                <c:pt idx="0">
                  <c:v>6–8 dependents</c:v>
                </c:pt>
              </c:strCache>
            </c:strRef>
          </c:tx>
          <c:spPr>
            <a:solidFill>
              <a:srgbClr val="A5A5A5"/>
            </a:solidFill>
            <a:ln>
              <a:solidFill>
                <a:sysClr val="window" lastClr="FFFFFF"/>
              </a:solidFill>
            </a:ln>
            <a:effectLst/>
          </c:spPr>
          <c:invertIfNegative val="0"/>
          <c:cat>
            <c:strRef>
              <c:f>[Workbook5.xlsx]Sheet1!$N$52:$N$64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[Workbook5.xlsx]Sheet1!$Q$52:$Q$64</c:f>
              <c:numCache>
                <c:formatCode>General</c:formatCode>
                <c:ptCount val="13"/>
                <c:pt idx="0">
                  <c:v>22</c:v>
                </c:pt>
                <c:pt idx="1">
                  <c:v>8</c:v>
                </c:pt>
                <c:pt idx="2">
                  <c:v>22</c:v>
                </c:pt>
                <c:pt idx="3">
                  <c:v>8</c:v>
                </c:pt>
                <c:pt idx="4">
                  <c:v>24</c:v>
                </c:pt>
                <c:pt idx="5">
                  <c:v>17</c:v>
                </c:pt>
                <c:pt idx="6">
                  <c:v>15</c:v>
                </c:pt>
                <c:pt idx="7">
                  <c:v>6</c:v>
                </c:pt>
                <c:pt idx="8">
                  <c:v>11</c:v>
                </c:pt>
                <c:pt idx="9">
                  <c:v>3</c:v>
                </c:pt>
                <c:pt idx="10">
                  <c:v>12</c:v>
                </c:pt>
                <c:pt idx="11">
                  <c:v>17</c:v>
                </c:pt>
                <c:pt idx="12">
                  <c:v>165</c:v>
                </c:pt>
              </c:numCache>
            </c:numRef>
          </c:val>
          <c:extLst>
            <c:ext xmlns:c16="http://schemas.microsoft.com/office/drawing/2014/chart" uri="{C3380CC4-5D6E-409C-BE32-E72D297353CC}">
              <c16:uniqueId val="{00000002-4E1E-4DD0-87FA-E1226EFD083D}"/>
            </c:ext>
          </c:extLst>
        </c:ser>
        <c:ser>
          <c:idx val="3"/>
          <c:order val="3"/>
          <c:tx>
            <c:strRef>
              <c:f>[Workbook5.xlsx]Sheet1!$R$51</c:f>
              <c:strCache>
                <c:ptCount val="1"/>
                <c:pt idx="0">
                  <c:v>9+ dependents</c:v>
                </c:pt>
              </c:strCache>
            </c:strRef>
          </c:tx>
          <c:spPr>
            <a:solidFill>
              <a:srgbClr val="FFC000"/>
            </a:solidFill>
            <a:ln>
              <a:solidFill>
                <a:sysClr val="window" lastClr="FFFFFF"/>
              </a:solidFill>
            </a:ln>
            <a:effectLst/>
          </c:spPr>
          <c:invertIfNegative val="0"/>
          <c:cat>
            <c:strRef>
              <c:f>[Workbook5.xlsx]Sheet1!$N$52:$N$64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[Workbook5.xlsx]Sheet1!$R$52:$R$64</c:f>
              <c:numCache>
                <c:formatCode>General</c:formatCode>
                <c:ptCount val="13"/>
                <c:pt idx="0">
                  <c:v>1</c:v>
                </c:pt>
                <c:pt idx="1">
                  <c:v>0</c:v>
                </c:pt>
                <c:pt idx="2">
                  <c:v>5</c:v>
                </c:pt>
                <c:pt idx="3">
                  <c:v>1</c:v>
                </c:pt>
                <c:pt idx="4">
                  <c:v>3</c:v>
                </c:pt>
                <c:pt idx="5">
                  <c:v>3</c:v>
                </c:pt>
                <c:pt idx="6">
                  <c:v>7</c:v>
                </c:pt>
                <c:pt idx="7">
                  <c:v>0</c:v>
                </c:pt>
                <c:pt idx="8">
                  <c:v>1</c:v>
                </c:pt>
                <c:pt idx="9">
                  <c:v>0</c:v>
                </c:pt>
                <c:pt idx="10">
                  <c:v>0</c:v>
                </c:pt>
                <c:pt idx="11">
                  <c:v>7</c:v>
                </c:pt>
                <c:pt idx="12">
                  <c:v>28</c:v>
                </c:pt>
              </c:numCache>
            </c:numRef>
          </c:val>
          <c:extLst>
            <c:ext xmlns:c16="http://schemas.microsoft.com/office/drawing/2014/chart" uri="{C3380CC4-5D6E-409C-BE32-E72D297353CC}">
              <c16:uniqueId val="{00000003-4E1E-4DD0-87FA-E1226EFD083D}"/>
            </c:ext>
          </c:extLst>
        </c:ser>
        <c:dLbls>
          <c:showLegendKey val="0"/>
          <c:showVal val="0"/>
          <c:showCatName val="0"/>
          <c:showSerName val="0"/>
          <c:showPercent val="0"/>
          <c:showBubbleSize val="0"/>
        </c:dLbls>
        <c:gapWidth val="55"/>
        <c:overlap val="100"/>
        <c:axId val="613877299"/>
        <c:axId val="38110663"/>
      </c:barChart>
      <c:catAx>
        <c:axId val="613877299"/>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38110663"/>
        <c:crosses val="autoZero"/>
        <c:auto val="1"/>
        <c:lblAlgn val="ctr"/>
        <c:lblOffset val="100"/>
        <c:noMultiLvlLbl val="0"/>
      </c:catAx>
      <c:valAx>
        <c:axId val="38110663"/>
        <c:scaling>
          <c:orientation val="minMax"/>
        </c:scaling>
        <c:delete val="0"/>
        <c:axPos val="l"/>
        <c:majorGridlines>
          <c:spPr>
            <a:ln w="9525" cap="flat" cmpd="sng" algn="ctr">
              <a:solidFill>
                <a:sysClr val="window" lastClr="FFFFFF">
                  <a:lumMod val="90200"/>
                </a:sys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613877299"/>
        <c:crosses val="autoZero"/>
        <c:crossBetween val="between"/>
      </c:valAx>
      <c:spPr>
        <a:noFill/>
        <a:ln>
          <a:noFill/>
        </a:ln>
        <a:effectLst/>
      </c:spPr>
    </c:plotArea>
    <c:legend>
      <c:legendPos val="r"/>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f70f8af2-169b-47b1-a9d1-a417a5793822}"/>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ltLang="en-GB"/>
              <a:t>Period of Stay in Communities</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ltLang="en-GB"/>
        </a:p>
      </c:txPr>
    </c:title>
    <c:autoTitleDeleted val="0"/>
    <c:plotArea>
      <c:layout/>
      <c:barChart>
        <c:barDir val="col"/>
        <c:grouping val="percentStacked"/>
        <c:varyColors val="0"/>
        <c:ser>
          <c:idx val="0"/>
          <c:order val="0"/>
          <c:tx>
            <c:strRef>
              <c:f>[Workbook5.xlsx]Sheet1!$C$51</c:f>
              <c:strCache>
                <c:ptCount val="1"/>
                <c:pt idx="0">
                  <c:v>Less than 5 years</c:v>
                </c:pt>
              </c:strCache>
            </c:strRef>
          </c:tx>
          <c:spPr>
            <a:solidFill>
              <a:srgbClr val="5B9BD5"/>
            </a:solidFill>
            <a:ln>
              <a:solidFill>
                <a:sysClr val="window" lastClr="FFFFFF"/>
              </a:solidFill>
            </a:ln>
            <a:effectLst/>
          </c:spPr>
          <c:invertIfNegative val="0"/>
          <c:cat>
            <c:strRef>
              <c:f>[Workbook5.xlsx]Sheet1!$B$52:$B$64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[Workbook5.xlsx]Sheet1!$C$52:$C$64</c:f>
              <c:numCache>
                <c:formatCode>General</c:formatCode>
                <c:ptCount val="13"/>
                <c:pt idx="0">
                  <c:v>0</c:v>
                </c:pt>
                <c:pt idx="1">
                  <c:v>0</c:v>
                </c:pt>
                <c:pt idx="2">
                  <c:v>0</c:v>
                </c:pt>
                <c:pt idx="3">
                  <c:v>0</c:v>
                </c:pt>
                <c:pt idx="4">
                  <c:v>2</c:v>
                </c:pt>
                <c:pt idx="5">
                  <c:v>2</c:v>
                </c:pt>
                <c:pt idx="6">
                  <c:v>0</c:v>
                </c:pt>
                <c:pt idx="7">
                  <c:v>0</c:v>
                </c:pt>
                <c:pt idx="8">
                  <c:v>0</c:v>
                </c:pt>
                <c:pt idx="9">
                  <c:v>0</c:v>
                </c:pt>
                <c:pt idx="10">
                  <c:v>2</c:v>
                </c:pt>
                <c:pt idx="11">
                  <c:v>0</c:v>
                </c:pt>
                <c:pt idx="12">
                  <c:v>6</c:v>
                </c:pt>
              </c:numCache>
            </c:numRef>
          </c:val>
          <c:extLst>
            <c:ext xmlns:c16="http://schemas.microsoft.com/office/drawing/2014/chart" uri="{C3380CC4-5D6E-409C-BE32-E72D297353CC}">
              <c16:uniqueId val="{00000000-E392-4C29-B9A9-A29F8A6299E4}"/>
            </c:ext>
          </c:extLst>
        </c:ser>
        <c:ser>
          <c:idx val="1"/>
          <c:order val="1"/>
          <c:tx>
            <c:strRef>
              <c:f>[Workbook5.xlsx]Sheet1!$D$51</c:f>
              <c:strCache>
                <c:ptCount val="1"/>
                <c:pt idx="0">
                  <c:v>5-10 years</c:v>
                </c:pt>
              </c:strCache>
            </c:strRef>
          </c:tx>
          <c:spPr>
            <a:solidFill>
              <a:srgbClr val="ED7D31"/>
            </a:solidFill>
            <a:ln>
              <a:solidFill>
                <a:sysClr val="window" lastClr="FFFFFF"/>
              </a:solidFill>
            </a:ln>
            <a:effectLst/>
          </c:spPr>
          <c:invertIfNegative val="0"/>
          <c:cat>
            <c:strRef>
              <c:f>[Workbook5.xlsx]Sheet1!$B$52:$B$64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[Workbook5.xlsx]Sheet1!$D$52:$D$64</c:f>
              <c:numCache>
                <c:formatCode>General</c:formatCode>
                <c:ptCount val="13"/>
                <c:pt idx="0">
                  <c:v>1</c:v>
                </c:pt>
                <c:pt idx="1">
                  <c:v>0</c:v>
                </c:pt>
                <c:pt idx="2">
                  <c:v>1</c:v>
                </c:pt>
                <c:pt idx="3">
                  <c:v>1</c:v>
                </c:pt>
                <c:pt idx="4">
                  <c:v>0</c:v>
                </c:pt>
                <c:pt idx="5">
                  <c:v>4</c:v>
                </c:pt>
                <c:pt idx="6">
                  <c:v>1</c:v>
                </c:pt>
                <c:pt idx="7">
                  <c:v>4</c:v>
                </c:pt>
                <c:pt idx="8">
                  <c:v>0</c:v>
                </c:pt>
                <c:pt idx="9">
                  <c:v>0</c:v>
                </c:pt>
                <c:pt idx="10">
                  <c:v>7</c:v>
                </c:pt>
                <c:pt idx="11">
                  <c:v>1</c:v>
                </c:pt>
                <c:pt idx="12">
                  <c:v>20</c:v>
                </c:pt>
              </c:numCache>
            </c:numRef>
          </c:val>
          <c:extLst>
            <c:ext xmlns:c16="http://schemas.microsoft.com/office/drawing/2014/chart" uri="{C3380CC4-5D6E-409C-BE32-E72D297353CC}">
              <c16:uniqueId val="{00000001-E392-4C29-B9A9-A29F8A6299E4}"/>
            </c:ext>
          </c:extLst>
        </c:ser>
        <c:ser>
          <c:idx val="2"/>
          <c:order val="2"/>
          <c:tx>
            <c:strRef>
              <c:f>[Workbook5.xlsx]Sheet1!$E$51</c:f>
              <c:strCache>
                <c:ptCount val="1"/>
                <c:pt idx="0">
                  <c:v>11-20 years</c:v>
                </c:pt>
              </c:strCache>
            </c:strRef>
          </c:tx>
          <c:spPr>
            <a:solidFill>
              <a:srgbClr val="A5A5A5"/>
            </a:solidFill>
            <a:ln>
              <a:solidFill>
                <a:sysClr val="window" lastClr="FFFFFF"/>
              </a:solidFill>
            </a:ln>
            <a:effectLst/>
          </c:spPr>
          <c:invertIfNegative val="0"/>
          <c:cat>
            <c:strRef>
              <c:f>[Workbook5.xlsx]Sheet1!$B$52:$B$64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[Workbook5.xlsx]Sheet1!$E$52:$E$64</c:f>
              <c:numCache>
                <c:formatCode>General</c:formatCode>
                <c:ptCount val="13"/>
                <c:pt idx="0">
                  <c:v>0</c:v>
                </c:pt>
                <c:pt idx="1">
                  <c:v>1</c:v>
                </c:pt>
                <c:pt idx="2">
                  <c:v>11</c:v>
                </c:pt>
                <c:pt idx="3">
                  <c:v>10</c:v>
                </c:pt>
                <c:pt idx="4">
                  <c:v>3</c:v>
                </c:pt>
                <c:pt idx="5">
                  <c:v>8</c:v>
                </c:pt>
                <c:pt idx="6">
                  <c:v>1</c:v>
                </c:pt>
                <c:pt idx="7">
                  <c:v>4</c:v>
                </c:pt>
                <c:pt idx="8">
                  <c:v>0</c:v>
                </c:pt>
                <c:pt idx="9">
                  <c:v>1</c:v>
                </c:pt>
                <c:pt idx="10">
                  <c:v>15</c:v>
                </c:pt>
                <c:pt idx="11">
                  <c:v>5</c:v>
                </c:pt>
                <c:pt idx="12">
                  <c:v>59</c:v>
                </c:pt>
              </c:numCache>
            </c:numRef>
          </c:val>
          <c:extLst>
            <c:ext xmlns:c16="http://schemas.microsoft.com/office/drawing/2014/chart" uri="{C3380CC4-5D6E-409C-BE32-E72D297353CC}">
              <c16:uniqueId val="{00000002-E392-4C29-B9A9-A29F8A6299E4}"/>
            </c:ext>
          </c:extLst>
        </c:ser>
        <c:ser>
          <c:idx val="3"/>
          <c:order val="3"/>
          <c:tx>
            <c:strRef>
              <c:f>[Workbook5.xlsx]Sheet1!$F$51</c:f>
              <c:strCache>
                <c:ptCount val="1"/>
                <c:pt idx="0">
                  <c:v>Over 20 years</c:v>
                </c:pt>
              </c:strCache>
            </c:strRef>
          </c:tx>
          <c:spPr>
            <a:solidFill>
              <a:srgbClr val="FFC000"/>
            </a:solidFill>
            <a:ln>
              <a:solidFill>
                <a:sysClr val="window" lastClr="FFFFFF"/>
              </a:solidFill>
            </a:ln>
            <a:effectLst/>
          </c:spPr>
          <c:invertIfNegative val="0"/>
          <c:cat>
            <c:strRef>
              <c:f>[Workbook5.xlsx]Sheet1!$B$52:$B$64</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Atortokpe</c:v>
                </c:pt>
                <c:pt idx="11">
                  <c:v>Torgbloku</c:v>
                </c:pt>
                <c:pt idx="12">
                  <c:v>Total</c:v>
                </c:pt>
              </c:strCache>
            </c:strRef>
          </c:cat>
          <c:val>
            <c:numRef>
              <c:f>[Workbook5.xlsx]Sheet1!$F$52:$F$64</c:f>
              <c:numCache>
                <c:formatCode>General</c:formatCode>
                <c:ptCount val="13"/>
                <c:pt idx="0">
                  <c:v>34</c:v>
                </c:pt>
                <c:pt idx="1">
                  <c:v>34</c:v>
                </c:pt>
                <c:pt idx="2">
                  <c:v>31</c:v>
                </c:pt>
                <c:pt idx="3">
                  <c:v>30</c:v>
                </c:pt>
                <c:pt idx="4">
                  <c:v>30</c:v>
                </c:pt>
                <c:pt idx="5">
                  <c:v>21</c:v>
                </c:pt>
                <c:pt idx="6">
                  <c:v>32</c:v>
                </c:pt>
                <c:pt idx="7">
                  <c:v>22</c:v>
                </c:pt>
                <c:pt idx="8">
                  <c:v>36</c:v>
                </c:pt>
                <c:pt idx="9">
                  <c:v>9</c:v>
                </c:pt>
                <c:pt idx="10">
                  <c:v>8</c:v>
                </c:pt>
                <c:pt idx="11">
                  <c:v>29</c:v>
                </c:pt>
                <c:pt idx="12">
                  <c:v>316</c:v>
                </c:pt>
              </c:numCache>
            </c:numRef>
          </c:val>
          <c:extLst>
            <c:ext xmlns:c16="http://schemas.microsoft.com/office/drawing/2014/chart" uri="{C3380CC4-5D6E-409C-BE32-E72D297353CC}">
              <c16:uniqueId val="{00000003-E392-4C29-B9A9-A29F8A6299E4}"/>
            </c:ext>
          </c:extLst>
        </c:ser>
        <c:dLbls>
          <c:showLegendKey val="0"/>
          <c:showVal val="0"/>
          <c:showCatName val="0"/>
          <c:showSerName val="0"/>
          <c:showPercent val="0"/>
          <c:showBubbleSize val="0"/>
        </c:dLbls>
        <c:gapWidth val="55"/>
        <c:overlap val="100"/>
        <c:axId val="885396648"/>
        <c:axId val="937453477"/>
      </c:barChart>
      <c:catAx>
        <c:axId val="885396648"/>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937453477"/>
        <c:crosses val="autoZero"/>
        <c:auto val="1"/>
        <c:lblAlgn val="ctr"/>
        <c:lblOffset val="100"/>
        <c:noMultiLvlLbl val="0"/>
      </c:catAx>
      <c:valAx>
        <c:axId val="937453477"/>
        <c:scaling>
          <c:orientation val="minMax"/>
        </c:scaling>
        <c:delete val="0"/>
        <c:axPos val="l"/>
        <c:majorGridlines>
          <c:spPr>
            <a:ln w="9525" cap="flat" cmpd="sng" algn="ctr">
              <a:solidFill>
                <a:sysClr val="window" lastClr="FFFFFF">
                  <a:lumMod val="90200"/>
                </a:sys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88539664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f9112380-ef2e-4456-af6f-53af33ed173d}"/>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b="1"/>
              <a:t>Household Members Working Outside</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Sheet1!$K$199</c:f>
              <c:strCache>
                <c:ptCount val="1"/>
                <c:pt idx="0">
                  <c:v>Yes</c:v>
                </c:pt>
              </c:strCache>
            </c:strRef>
          </c:tx>
          <c:spPr>
            <a:solidFill>
              <a:srgbClr val="0000FF"/>
            </a:solidFill>
            <a:ln>
              <a:noFill/>
            </a:ln>
            <a:effectLst/>
          </c:spPr>
          <c:invertIfNegative val="0"/>
          <c:cat>
            <c:strRef>
              <c:f>Sheet1!$J$200:$J$212</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Togboku</c:v>
                </c:pt>
                <c:pt idx="11">
                  <c:v>Torgbloku</c:v>
                </c:pt>
                <c:pt idx="12">
                  <c:v>Total</c:v>
                </c:pt>
              </c:strCache>
            </c:strRef>
          </c:cat>
          <c:val>
            <c:numRef>
              <c:f>Sheet1!$K$200:$K$212</c:f>
              <c:numCache>
                <c:formatCode>General</c:formatCode>
                <c:ptCount val="13"/>
                <c:pt idx="0">
                  <c:v>17</c:v>
                </c:pt>
                <c:pt idx="1">
                  <c:v>17</c:v>
                </c:pt>
                <c:pt idx="2">
                  <c:v>18</c:v>
                </c:pt>
                <c:pt idx="3">
                  <c:v>21</c:v>
                </c:pt>
                <c:pt idx="4">
                  <c:v>22</c:v>
                </c:pt>
                <c:pt idx="5">
                  <c:v>17</c:v>
                </c:pt>
                <c:pt idx="6">
                  <c:v>15</c:v>
                </c:pt>
                <c:pt idx="7">
                  <c:v>22</c:v>
                </c:pt>
                <c:pt idx="8">
                  <c:v>3</c:v>
                </c:pt>
                <c:pt idx="9">
                  <c:v>3</c:v>
                </c:pt>
                <c:pt idx="10">
                  <c:v>19</c:v>
                </c:pt>
                <c:pt idx="11">
                  <c:v>14</c:v>
                </c:pt>
                <c:pt idx="12">
                  <c:v>188</c:v>
                </c:pt>
              </c:numCache>
            </c:numRef>
          </c:val>
          <c:extLst>
            <c:ext xmlns:c16="http://schemas.microsoft.com/office/drawing/2014/chart" uri="{C3380CC4-5D6E-409C-BE32-E72D297353CC}">
              <c16:uniqueId val="{00000000-01E1-4936-A8C9-F2B6A27BD222}"/>
            </c:ext>
          </c:extLst>
        </c:ser>
        <c:ser>
          <c:idx val="1"/>
          <c:order val="1"/>
          <c:tx>
            <c:strRef>
              <c:f>Sheet1!$L$199</c:f>
              <c:strCache>
                <c:ptCount val="1"/>
                <c:pt idx="0">
                  <c:v>No</c:v>
                </c:pt>
              </c:strCache>
            </c:strRef>
          </c:tx>
          <c:spPr>
            <a:solidFill>
              <a:srgbClr val="FF0000"/>
            </a:solidFill>
            <a:ln>
              <a:noFill/>
            </a:ln>
            <a:effectLst/>
          </c:spPr>
          <c:invertIfNegative val="0"/>
          <c:cat>
            <c:strRef>
              <c:f>Sheet1!$J$200:$J$212</c:f>
              <c:strCache>
                <c:ptCount val="13"/>
                <c:pt idx="0">
                  <c:v>Aflive</c:v>
                </c:pt>
                <c:pt idx="1">
                  <c:v>Azizanya</c:v>
                </c:pt>
                <c:pt idx="2">
                  <c:v>Big Ada</c:v>
                </c:pt>
                <c:pt idx="3">
                  <c:v>Elavanyo</c:v>
                </c:pt>
                <c:pt idx="4">
                  <c:v>Kajanya</c:v>
                </c:pt>
                <c:pt idx="5">
                  <c:v>Kasseh</c:v>
                </c:pt>
                <c:pt idx="6">
                  <c:v>Lufenya</c:v>
                </c:pt>
                <c:pt idx="7">
                  <c:v>Obane</c:v>
                </c:pt>
                <c:pt idx="8">
                  <c:v>Otrokpe</c:v>
                </c:pt>
                <c:pt idx="9">
                  <c:v>Pediatorkope</c:v>
                </c:pt>
                <c:pt idx="10">
                  <c:v>Togboku</c:v>
                </c:pt>
                <c:pt idx="11">
                  <c:v>Torgbloku</c:v>
                </c:pt>
                <c:pt idx="12">
                  <c:v>Total</c:v>
                </c:pt>
              </c:strCache>
            </c:strRef>
          </c:cat>
          <c:val>
            <c:numRef>
              <c:f>Sheet1!$L$200:$L$212</c:f>
              <c:numCache>
                <c:formatCode>General</c:formatCode>
                <c:ptCount val="13"/>
                <c:pt idx="0">
                  <c:v>18</c:v>
                </c:pt>
                <c:pt idx="1">
                  <c:v>18</c:v>
                </c:pt>
                <c:pt idx="2">
                  <c:v>25</c:v>
                </c:pt>
                <c:pt idx="3">
                  <c:v>19</c:v>
                </c:pt>
                <c:pt idx="4">
                  <c:v>13</c:v>
                </c:pt>
                <c:pt idx="5">
                  <c:v>18</c:v>
                </c:pt>
                <c:pt idx="6">
                  <c:v>19</c:v>
                </c:pt>
                <c:pt idx="7">
                  <c:v>8</c:v>
                </c:pt>
                <c:pt idx="8">
                  <c:v>33</c:v>
                </c:pt>
                <c:pt idx="9">
                  <c:v>7</c:v>
                </c:pt>
                <c:pt idx="10">
                  <c:v>13</c:v>
                </c:pt>
                <c:pt idx="11">
                  <c:v>21</c:v>
                </c:pt>
                <c:pt idx="12">
                  <c:v>212</c:v>
                </c:pt>
              </c:numCache>
            </c:numRef>
          </c:val>
          <c:extLst>
            <c:ext xmlns:c16="http://schemas.microsoft.com/office/drawing/2014/chart" uri="{C3380CC4-5D6E-409C-BE32-E72D297353CC}">
              <c16:uniqueId val="{00000001-01E1-4936-A8C9-F2B6A27BD222}"/>
            </c:ext>
          </c:extLst>
        </c:ser>
        <c:dLbls>
          <c:showLegendKey val="0"/>
          <c:showVal val="0"/>
          <c:showCatName val="0"/>
          <c:showSerName val="0"/>
          <c:showPercent val="0"/>
          <c:showBubbleSize val="0"/>
        </c:dLbls>
        <c:gapWidth val="150"/>
        <c:overlap val="100"/>
        <c:axId val="2121150447"/>
        <c:axId val="2121161263"/>
      </c:barChart>
      <c:catAx>
        <c:axId val="21211504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ID4096"/>
          </a:p>
        </c:txPr>
        <c:crossAx val="2121161263"/>
        <c:crosses val="autoZero"/>
        <c:auto val="1"/>
        <c:lblAlgn val="ctr"/>
        <c:lblOffset val="100"/>
        <c:noMultiLvlLbl val="0"/>
      </c:catAx>
      <c:valAx>
        <c:axId val="21211612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ID4096"/>
          </a:p>
        </c:txPr>
        <c:crossAx val="2121150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09d1af58-87ca-4dbf-a487-62540d461c79}"/>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LID4096"/>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t>Who decides on the following?</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Sheet1!$AH$6</c:f>
              <c:strCache>
                <c:ptCount val="1"/>
                <c:pt idx="0">
                  <c:v>Female</c:v>
                </c:pt>
              </c:strCache>
            </c:strRef>
          </c:tx>
          <c:spPr>
            <a:solidFill>
              <a:srgbClr val="5B9BD5"/>
            </a:solidFill>
            <a:ln>
              <a:noFill/>
            </a:ln>
            <a:effectLst/>
          </c:spPr>
          <c:invertIfNegative val="0"/>
          <c:cat>
            <c:strRef>
              <c:f>Sheet1!$AI$5:$AK$5</c:f>
              <c:strCache>
                <c:ptCount val="3"/>
                <c:pt idx="0">
                  <c:v>Household finances</c:v>
                </c:pt>
                <c:pt idx="1">
                  <c:v>Farming</c:v>
                </c:pt>
                <c:pt idx="2">
                  <c:v>Children's education</c:v>
                </c:pt>
              </c:strCache>
            </c:strRef>
          </c:cat>
          <c:val>
            <c:numRef>
              <c:f>Sheet1!$AI$6:$AK$6</c:f>
              <c:numCache>
                <c:formatCode>General</c:formatCode>
                <c:ptCount val="3"/>
                <c:pt idx="0">
                  <c:v>6.05</c:v>
                </c:pt>
                <c:pt idx="1">
                  <c:v>5.45</c:v>
                </c:pt>
                <c:pt idx="2">
                  <c:v>6.11</c:v>
                </c:pt>
              </c:numCache>
            </c:numRef>
          </c:val>
          <c:extLst>
            <c:ext xmlns:c16="http://schemas.microsoft.com/office/drawing/2014/chart" uri="{C3380CC4-5D6E-409C-BE32-E72D297353CC}">
              <c16:uniqueId val="{00000000-61D2-4D03-A3C3-B0B3B1441C60}"/>
            </c:ext>
          </c:extLst>
        </c:ser>
        <c:ser>
          <c:idx val="1"/>
          <c:order val="1"/>
          <c:tx>
            <c:strRef>
              <c:f>Sheet1!$AH$7</c:f>
              <c:strCache>
                <c:ptCount val="1"/>
                <c:pt idx="0">
                  <c:v>Joint</c:v>
                </c:pt>
              </c:strCache>
            </c:strRef>
          </c:tx>
          <c:spPr>
            <a:solidFill>
              <a:srgbClr val="ED7D31"/>
            </a:solidFill>
            <a:ln>
              <a:noFill/>
            </a:ln>
            <a:effectLst/>
          </c:spPr>
          <c:invertIfNegative val="0"/>
          <c:cat>
            <c:strRef>
              <c:f>Sheet1!$AI$5:$AK$5</c:f>
              <c:strCache>
                <c:ptCount val="3"/>
                <c:pt idx="0">
                  <c:v>Household finances</c:v>
                </c:pt>
                <c:pt idx="1">
                  <c:v>Farming</c:v>
                </c:pt>
                <c:pt idx="2">
                  <c:v>Children's education</c:v>
                </c:pt>
              </c:strCache>
            </c:strRef>
          </c:cat>
          <c:val>
            <c:numRef>
              <c:f>Sheet1!$AI$7:$AK$7</c:f>
              <c:numCache>
                <c:formatCode>General</c:formatCode>
                <c:ptCount val="3"/>
                <c:pt idx="0">
                  <c:v>54.41</c:v>
                </c:pt>
                <c:pt idx="1">
                  <c:v>64.09</c:v>
                </c:pt>
                <c:pt idx="2">
                  <c:v>80.92</c:v>
                </c:pt>
              </c:numCache>
            </c:numRef>
          </c:val>
          <c:extLst>
            <c:ext xmlns:c16="http://schemas.microsoft.com/office/drawing/2014/chart" uri="{C3380CC4-5D6E-409C-BE32-E72D297353CC}">
              <c16:uniqueId val="{00000001-61D2-4D03-A3C3-B0B3B1441C60}"/>
            </c:ext>
          </c:extLst>
        </c:ser>
        <c:ser>
          <c:idx val="2"/>
          <c:order val="2"/>
          <c:tx>
            <c:strRef>
              <c:f>Sheet1!$AH$8</c:f>
              <c:strCache>
                <c:ptCount val="1"/>
                <c:pt idx="0">
                  <c:v>Male</c:v>
                </c:pt>
              </c:strCache>
            </c:strRef>
          </c:tx>
          <c:spPr>
            <a:solidFill>
              <a:srgbClr val="A5A5A5"/>
            </a:solidFill>
            <a:ln>
              <a:noFill/>
            </a:ln>
            <a:effectLst/>
          </c:spPr>
          <c:invertIfNegative val="0"/>
          <c:cat>
            <c:strRef>
              <c:f>Sheet1!$AI$5:$AK$5</c:f>
              <c:strCache>
                <c:ptCount val="3"/>
                <c:pt idx="0">
                  <c:v>Household finances</c:v>
                </c:pt>
                <c:pt idx="1">
                  <c:v>Farming</c:v>
                </c:pt>
                <c:pt idx="2">
                  <c:v>Children's education</c:v>
                </c:pt>
              </c:strCache>
            </c:strRef>
          </c:cat>
          <c:val>
            <c:numRef>
              <c:f>Sheet1!$AI$8:$AK$8</c:f>
              <c:numCache>
                <c:formatCode>General</c:formatCode>
                <c:ptCount val="3"/>
                <c:pt idx="0">
                  <c:v>39.549999999999997</c:v>
                </c:pt>
                <c:pt idx="1">
                  <c:v>30.45</c:v>
                </c:pt>
                <c:pt idx="2">
                  <c:v>12.98</c:v>
                </c:pt>
              </c:numCache>
            </c:numRef>
          </c:val>
          <c:extLst>
            <c:ext xmlns:c16="http://schemas.microsoft.com/office/drawing/2014/chart" uri="{C3380CC4-5D6E-409C-BE32-E72D297353CC}">
              <c16:uniqueId val="{00000002-61D2-4D03-A3C3-B0B3B1441C60}"/>
            </c:ext>
          </c:extLst>
        </c:ser>
        <c:dLbls>
          <c:showLegendKey val="0"/>
          <c:showVal val="0"/>
          <c:showCatName val="0"/>
          <c:showSerName val="0"/>
          <c:showPercent val="0"/>
          <c:showBubbleSize val="0"/>
        </c:dLbls>
        <c:gapWidth val="111"/>
        <c:overlap val="2"/>
        <c:axId val="757962847"/>
        <c:axId val="31743140"/>
      </c:barChart>
      <c:catAx>
        <c:axId val="757962847"/>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31743140"/>
        <c:crosses val="autoZero"/>
        <c:auto val="1"/>
        <c:lblAlgn val="ctr"/>
        <c:lblOffset val="100"/>
        <c:noMultiLvlLbl val="0"/>
      </c:catAx>
      <c:valAx>
        <c:axId val="31743140"/>
        <c:scaling>
          <c:orientation val="minMax"/>
        </c:scaling>
        <c:delete val="0"/>
        <c:axPos val="l"/>
        <c:majorGridlines>
          <c:spPr>
            <a:ln w="9525" cap="flat" cmpd="sng" algn="ctr">
              <a:solidFill>
                <a:sysClr val="window" lastClr="FFFFFF">
                  <a:lumMod val="90200"/>
                </a:sysClr>
              </a:solidFill>
              <a:round/>
            </a:ln>
            <a:effectLst/>
          </c:spPr>
        </c:majorGridlines>
        <c:title>
          <c:tx>
            <c:rich>
              <a:bodyPr rot="-5400000" spcFirstLastPara="0" vertOverflow="ellipsis" vert="horz" wrap="square" anchor="ctr" anchorCtr="1"/>
              <a:lstStyle/>
              <a:p>
                <a:pPr defTabSz="914400">
                  <a:defRPr lang="en-GB" sz="1000" b="0" i="0" u="none" strike="noStrike" kern="1200" baseline="0">
                    <a:solidFill>
                      <a:sysClr val="windowText" lastClr="000000">
                        <a:lumMod val="65000"/>
                        <a:lumOff val="35000"/>
                      </a:sysClr>
                    </a:solidFill>
                    <a:latin typeface="+mn-lt"/>
                    <a:ea typeface="+mn-ea"/>
                    <a:cs typeface="+mn-cs"/>
                  </a:defRPr>
                </a:pPr>
                <a:r>
                  <a:rPr lang="en-US" altLang="en-GB"/>
                  <a:t>Percentage</a:t>
                </a:r>
              </a:p>
            </c:rich>
          </c:tx>
          <c:overlay val="0"/>
          <c:spPr>
            <a:noFill/>
            <a:ln>
              <a:noFill/>
            </a:ln>
            <a:effectLst/>
          </c:spPr>
          <c:txPr>
            <a:bodyPr rot="-5400000" spcFirstLastPara="0" vertOverflow="ellipsis" vert="horz" wrap="square" anchor="ctr" anchorCtr="1"/>
            <a:lstStyle/>
            <a:p>
              <a:pPr defTabSz="914400">
                <a:defRPr lang="en-GB" sz="1000" b="0" i="0" u="none" strike="noStrike" kern="1200" baseline="0">
                  <a:solidFill>
                    <a:sysClr val="windowText" lastClr="000000">
                      <a:lumMod val="65000"/>
                      <a:lumOff val="35000"/>
                    </a:sysClr>
                  </a:solidFill>
                  <a:latin typeface="+mn-lt"/>
                  <a:ea typeface="+mn-ea"/>
                  <a:cs typeface="+mn-cs"/>
                </a:defRPr>
              </a:pPr>
              <a:endParaRPr lang="en-US" altLang="en-GB"/>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757962847"/>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5c3b6c29-7bc1-4ac3-aa4e-7b09b600f9e3}"/>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t>Who is takes care of the following tasks?</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Sheet1!$AO$14</c:f>
              <c:strCache>
                <c:ptCount val="1"/>
                <c:pt idx="0">
                  <c:v>Female</c:v>
                </c:pt>
              </c:strCache>
            </c:strRef>
          </c:tx>
          <c:spPr>
            <a:solidFill>
              <a:srgbClr val="5B9BD5"/>
            </a:solidFill>
            <a:ln>
              <a:noFill/>
            </a:ln>
            <a:effectLst/>
          </c:spPr>
          <c:invertIfNegative val="0"/>
          <c:cat>
            <c:strRef>
              <c:f>Sheet1!$AP$13:$AR$13</c:f>
              <c:strCache>
                <c:ptCount val="3"/>
                <c:pt idx="0">
                  <c:v>Farming</c:v>
                </c:pt>
                <c:pt idx="1">
                  <c:v>Fetching water</c:v>
                </c:pt>
                <c:pt idx="2">
                  <c:v>Childcare</c:v>
                </c:pt>
              </c:strCache>
            </c:strRef>
          </c:cat>
          <c:val>
            <c:numRef>
              <c:f>Sheet1!$AP$14:$AR$14</c:f>
              <c:numCache>
                <c:formatCode>General</c:formatCode>
                <c:ptCount val="3"/>
                <c:pt idx="0">
                  <c:v>6.19</c:v>
                </c:pt>
                <c:pt idx="1">
                  <c:v>78.39</c:v>
                </c:pt>
                <c:pt idx="2">
                  <c:v>15.25</c:v>
                </c:pt>
              </c:numCache>
            </c:numRef>
          </c:val>
          <c:extLst>
            <c:ext xmlns:c16="http://schemas.microsoft.com/office/drawing/2014/chart" uri="{C3380CC4-5D6E-409C-BE32-E72D297353CC}">
              <c16:uniqueId val="{00000000-6C6F-4CE5-A3F4-F4348E0CB576}"/>
            </c:ext>
          </c:extLst>
        </c:ser>
        <c:ser>
          <c:idx val="1"/>
          <c:order val="1"/>
          <c:tx>
            <c:strRef>
              <c:f>Sheet1!$AO$15</c:f>
              <c:strCache>
                <c:ptCount val="1"/>
                <c:pt idx="0">
                  <c:v>Joint</c:v>
                </c:pt>
              </c:strCache>
            </c:strRef>
          </c:tx>
          <c:spPr>
            <a:solidFill>
              <a:srgbClr val="ED7D31"/>
            </a:solidFill>
            <a:ln>
              <a:noFill/>
            </a:ln>
            <a:effectLst/>
          </c:spPr>
          <c:invertIfNegative val="0"/>
          <c:cat>
            <c:strRef>
              <c:f>Sheet1!$AP$13:$AR$13</c:f>
              <c:strCache>
                <c:ptCount val="3"/>
                <c:pt idx="0">
                  <c:v>Farming</c:v>
                </c:pt>
                <c:pt idx="1">
                  <c:v>Fetching water</c:v>
                </c:pt>
                <c:pt idx="2">
                  <c:v>Childcare</c:v>
                </c:pt>
              </c:strCache>
            </c:strRef>
          </c:cat>
          <c:val>
            <c:numRef>
              <c:f>Sheet1!$AP$15:$AR$15</c:f>
              <c:numCache>
                <c:formatCode>General</c:formatCode>
                <c:ptCount val="3"/>
                <c:pt idx="0">
                  <c:v>58.85</c:v>
                </c:pt>
                <c:pt idx="1">
                  <c:v>18.84</c:v>
                </c:pt>
                <c:pt idx="2">
                  <c:v>79.25</c:v>
                </c:pt>
              </c:numCache>
            </c:numRef>
          </c:val>
          <c:extLst>
            <c:ext xmlns:c16="http://schemas.microsoft.com/office/drawing/2014/chart" uri="{C3380CC4-5D6E-409C-BE32-E72D297353CC}">
              <c16:uniqueId val="{00000001-6C6F-4CE5-A3F4-F4348E0CB576}"/>
            </c:ext>
          </c:extLst>
        </c:ser>
        <c:ser>
          <c:idx val="2"/>
          <c:order val="2"/>
          <c:tx>
            <c:strRef>
              <c:f>Sheet1!$AO$16</c:f>
              <c:strCache>
                <c:ptCount val="1"/>
                <c:pt idx="0">
                  <c:v>Male</c:v>
                </c:pt>
              </c:strCache>
            </c:strRef>
          </c:tx>
          <c:spPr>
            <a:solidFill>
              <a:srgbClr val="A5A5A5"/>
            </a:solidFill>
            <a:ln>
              <a:noFill/>
            </a:ln>
            <a:effectLst/>
          </c:spPr>
          <c:invertIfNegative val="0"/>
          <c:cat>
            <c:strRef>
              <c:f>Sheet1!$AP$13:$AR$13</c:f>
              <c:strCache>
                <c:ptCount val="3"/>
                <c:pt idx="0">
                  <c:v>Farming</c:v>
                </c:pt>
                <c:pt idx="1">
                  <c:v>Fetching water</c:v>
                </c:pt>
                <c:pt idx="2">
                  <c:v>Childcare</c:v>
                </c:pt>
              </c:strCache>
            </c:strRef>
          </c:cat>
          <c:val>
            <c:numRef>
              <c:f>Sheet1!$AP$16:$AR$16</c:f>
              <c:numCache>
                <c:formatCode>General</c:formatCode>
                <c:ptCount val="3"/>
                <c:pt idx="0">
                  <c:v>34.96</c:v>
                </c:pt>
                <c:pt idx="1">
                  <c:v>2.76</c:v>
                </c:pt>
                <c:pt idx="2">
                  <c:v>5.5</c:v>
                </c:pt>
              </c:numCache>
            </c:numRef>
          </c:val>
          <c:extLst>
            <c:ext xmlns:c16="http://schemas.microsoft.com/office/drawing/2014/chart" uri="{C3380CC4-5D6E-409C-BE32-E72D297353CC}">
              <c16:uniqueId val="{00000002-6C6F-4CE5-A3F4-F4348E0CB576}"/>
            </c:ext>
          </c:extLst>
        </c:ser>
        <c:dLbls>
          <c:showLegendKey val="0"/>
          <c:showVal val="0"/>
          <c:showCatName val="0"/>
          <c:showSerName val="0"/>
          <c:showPercent val="0"/>
          <c:showBubbleSize val="0"/>
        </c:dLbls>
        <c:gapWidth val="76"/>
        <c:overlap val="11"/>
        <c:axId val="509068108"/>
        <c:axId val="42250231"/>
      </c:barChart>
      <c:catAx>
        <c:axId val="509068108"/>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42250231"/>
        <c:crosses val="autoZero"/>
        <c:auto val="1"/>
        <c:lblAlgn val="ctr"/>
        <c:lblOffset val="100"/>
        <c:noMultiLvlLbl val="0"/>
      </c:catAx>
      <c:valAx>
        <c:axId val="42250231"/>
        <c:scaling>
          <c:orientation val="minMax"/>
        </c:scaling>
        <c:delete val="0"/>
        <c:axPos val="l"/>
        <c:majorGridlines>
          <c:spPr>
            <a:ln w="9525" cap="flat" cmpd="sng" algn="ctr">
              <a:solidFill>
                <a:sysClr val="window" lastClr="FFFFFF">
                  <a:lumMod val="90200"/>
                </a:sysClr>
              </a:solidFill>
              <a:round/>
            </a:ln>
            <a:effectLst/>
          </c:spPr>
        </c:majorGridlines>
        <c:title>
          <c:tx>
            <c:rich>
              <a:bodyPr rot="-5400000" spcFirstLastPara="0" vertOverflow="ellipsis" vert="horz" wrap="square" anchor="ctr" anchorCtr="1"/>
              <a:lstStyle/>
              <a:p>
                <a:pPr defTabSz="914400">
                  <a:defRPr lang="en-GB" sz="1000" b="0" i="0" u="none" strike="noStrike" kern="1200" baseline="0">
                    <a:solidFill>
                      <a:sysClr val="windowText" lastClr="000000">
                        <a:lumMod val="65000"/>
                        <a:lumOff val="35000"/>
                      </a:sysClr>
                    </a:solidFill>
                    <a:latin typeface="+mn-lt"/>
                    <a:ea typeface="+mn-ea"/>
                    <a:cs typeface="+mn-cs"/>
                  </a:defRPr>
                </a:pPr>
                <a:r>
                  <a:rPr lang="en-US" altLang="en-GB"/>
                  <a:t>Percentage</a:t>
                </a:r>
              </a:p>
            </c:rich>
          </c:tx>
          <c:overlay val="0"/>
          <c:spPr>
            <a:noFill/>
            <a:ln>
              <a:noFill/>
            </a:ln>
            <a:effectLst/>
          </c:spPr>
          <c:txPr>
            <a:bodyPr rot="-5400000" spcFirstLastPara="0" vertOverflow="ellipsis" vert="horz" wrap="square" anchor="ctr" anchorCtr="1"/>
            <a:lstStyle/>
            <a:p>
              <a:pPr defTabSz="914400">
                <a:defRPr lang="en-GB" sz="1000" b="0" i="0" u="none" strike="noStrike" kern="1200" baseline="0">
                  <a:solidFill>
                    <a:sysClr val="windowText" lastClr="000000">
                      <a:lumMod val="65000"/>
                      <a:lumOff val="35000"/>
                    </a:sysClr>
                  </a:solidFill>
                  <a:latin typeface="+mn-lt"/>
                  <a:ea typeface="+mn-ea"/>
                  <a:cs typeface="+mn-cs"/>
                </a:defRPr>
              </a:pPr>
              <a:endParaRPr lang="en-US" altLang="en-GB"/>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50906810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legend>
    <c:plotVisOnly val="1"/>
    <c:dispBlanksAs val="gap"/>
    <c:showDLblsOverMax val="0"/>
    <c:extLst>
      <c:ext uri="{0b15fc19-7d7d-44ad-8c2d-2c3a37ce22c3}">
        <chartProps xmlns="https://web.wps.cn/et/2018/main" chartId="{d50c0b41-dab6-4650-aa99-411855cb1dab}"/>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r>
              <a:rPr lang="en-US"/>
              <a:t>Adaptive Capacity</a:t>
            </a:r>
          </a:p>
        </c:rich>
      </c:tx>
      <c:overlay val="0"/>
      <c:spPr>
        <a:noFill/>
        <a:ln>
          <a:noFill/>
        </a:ln>
        <a:effectLst/>
      </c:spPr>
      <c:txPr>
        <a:bodyPr rot="0" spcFirstLastPara="0" vertOverflow="ellipsis" vert="horz" wrap="square" anchor="ctr" anchorCtr="1"/>
        <a:lstStyle/>
        <a:p>
          <a:pPr defTabSz="914400">
            <a:defRPr lang="en-GB" sz="1400" b="1" i="0" u="none" strike="noStrike" kern="1200" baseline="0">
              <a:solidFill>
                <a:sysClr val="windowText" lastClr="000000">
                  <a:lumMod val="75000"/>
                  <a:lumOff val="25000"/>
                </a:sysClr>
              </a:solidFill>
              <a:latin typeface="+mn-lt"/>
              <a:ea typeface="+mn-ea"/>
              <a:cs typeface="+mn-cs"/>
            </a:defRPr>
          </a:pPr>
          <a:endParaRPr lang="en-US"/>
        </a:p>
      </c:txPr>
    </c:title>
    <c:autoTitleDeleted val="0"/>
    <c:plotArea>
      <c:layout>
        <c:manualLayout>
          <c:layoutTarget val="inner"/>
          <c:xMode val="edge"/>
          <c:yMode val="edge"/>
          <c:x val="9.4683782737483693E-2"/>
          <c:y val="0.110346475507766"/>
          <c:w val="0.88067739992574801"/>
          <c:h val="0.60986124046322199"/>
        </c:manualLayout>
      </c:layout>
      <c:barChart>
        <c:barDir val="col"/>
        <c:grouping val="clustered"/>
        <c:varyColors val="0"/>
        <c:ser>
          <c:idx val="0"/>
          <c:order val="0"/>
          <c:tx>
            <c:strRef>
              <c:f>Sheet1!$AR$37</c:f>
              <c:strCache>
                <c:ptCount val="1"/>
                <c:pt idx="0">
                  <c:v>Yes</c:v>
                </c:pt>
              </c:strCache>
            </c:strRef>
          </c:tx>
          <c:spPr>
            <a:gradFill>
              <a:gsLst>
                <a:gs pos="0">
                  <a:srgbClr val="5B9BD5">
                    <a:lumMod val="40000"/>
                    <a:lumOff val="60000"/>
                  </a:srgbClr>
                </a:gs>
                <a:gs pos="90000">
                  <a:srgbClr val="5B9BD5"/>
                </a:gs>
              </a:gsLst>
              <a:lin ang="5400000" scaled="0"/>
            </a:gradFill>
            <a:ln>
              <a:gradFill>
                <a:gsLst>
                  <a:gs pos="0">
                    <a:srgbClr val="5B9BD5"/>
                  </a:gs>
                  <a:gs pos="100000">
                    <a:srgbClr val="5B9BD5">
                      <a:lumMod val="75000"/>
                    </a:srgbClr>
                  </a:gs>
                </a:gsLst>
                <a:lin ang="5400000" scaled="1"/>
              </a:gradFill>
            </a:ln>
            <a:effectLst>
              <a:outerShdw blurRad="76200" dist="25400" dir="2700000" algn="tl" rotWithShape="0">
                <a:srgbClr val="5B9BD5">
                  <a:lumMod val="50000"/>
                  <a:alpha val="30000"/>
                </a:srgbClr>
              </a:outerShdw>
            </a:effectLst>
          </c:spPr>
          <c:invertIfNegative val="0"/>
          <c:cat>
            <c:strRef>
              <c:f>Sheet1!$AQ$38:$AQ$39</c:f>
              <c:strCache>
                <c:ptCount val="2"/>
                <c:pt idx="0">
                  <c:v>Are women involved in household climate-related decision-making?</c:v>
                </c:pt>
                <c:pt idx="1">
                  <c:v>Are there any groups/organizations supporting women in climate adaptation?</c:v>
                </c:pt>
              </c:strCache>
            </c:strRef>
          </c:cat>
          <c:val>
            <c:numRef>
              <c:f>Sheet1!$AR$38:$AR$39</c:f>
              <c:numCache>
                <c:formatCode>General</c:formatCode>
                <c:ptCount val="2"/>
                <c:pt idx="0">
                  <c:v>50</c:v>
                </c:pt>
                <c:pt idx="1">
                  <c:v>1.5</c:v>
                </c:pt>
              </c:numCache>
            </c:numRef>
          </c:val>
          <c:extLst>
            <c:ext xmlns:c16="http://schemas.microsoft.com/office/drawing/2014/chart" uri="{C3380CC4-5D6E-409C-BE32-E72D297353CC}">
              <c16:uniqueId val="{00000000-E0C7-4C5E-9D54-7E8FEB0AB134}"/>
            </c:ext>
          </c:extLst>
        </c:ser>
        <c:ser>
          <c:idx val="1"/>
          <c:order val="1"/>
          <c:tx>
            <c:strRef>
              <c:f>Sheet1!$AS$37</c:f>
              <c:strCache>
                <c:ptCount val="1"/>
                <c:pt idx="0">
                  <c:v>No</c:v>
                </c:pt>
              </c:strCache>
            </c:strRef>
          </c:tx>
          <c:spPr>
            <a:gradFill>
              <a:gsLst>
                <a:gs pos="0">
                  <a:srgbClr val="ED7D31">
                    <a:lumMod val="40000"/>
                    <a:lumOff val="60000"/>
                  </a:srgbClr>
                </a:gs>
                <a:gs pos="90000">
                  <a:srgbClr val="ED7D31"/>
                </a:gs>
              </a:gsLst>
              <a:lin ang="5400000" scaled="0"/>
            </a:gradFill>
            <a:ln>
              <a:gradFill>
                <a:gsLst>
                  <a:gs pos="0">
                    <a:srgbClr val="ED7D31"/>
                  </a:gs>
                  <a:gs pos="100000">
                    <a:srgbClr val="ED7D31">
                      <a:lumMod val="75000"/>
                    </a:srgbClr>
                  </a:gs>
                </a:gsLst>
                <a:lin ang="5400000" scaled="1"/>
              </a:gradFill>
            </a:ln>
            <a:effectLst>
              <a:outerShdw blurRad="76200" dist="25400" dir="2700000" algn="tl" rotWithShape="0">
                <a:srgbClr val="ED7D31">
                  <a:lumMod val="50000"/>
                  <a:alpha val="30000"/>
                </a:srgbClr>
              </a:outerShdw>
            </a:effectLst>
          </c:spPr>
          <c:invertIfNegative val="0"/>
          <c:cat>
            <c:strRef>
              <c:f>Sheet1!$AQ$38:$AQ$39</c:f>
              <c:strCache>
                <c:ptCount val="2"/>
                <c:pt idx="0">
                  <c:v>Are women involved in household climate-related decision-making?</c:v>
                </c:pt>
                <c:pt idx="1">
                  <c:v>Are there any groups/organizations supporting women in climate adaptation?</c:v>
                </c:pt>
              </c:strCache>
            </c:strRef>
          </c:cat>
          <c:val>
            <c:numRef>
              <c:f>Sheet1!$AS$38:$AS$39</c:f>
              <c:numCache>
                <c:formatCode>General</c:formatCode>
                <c:ptCount val="2"/>
                <c:pt idx="0">
                  <c:v>50</c:v>
                </c:pt>
                <c:pt idx="1">
                  <c:v>98.5</c:v>
                </c:pt>
              </c:numCache>
            </c:numRef>
          </c:val>
          <c:extLst>
            <c:ext xmlns:c16="http://schemas.microsoft.com/office/drawing/2014/chart" uri="{C3380CC4-5D6E-409C-BE32-E72D297353CC}">
              <c16:uniqueId val="{00000001-E0C7-4C5E-9D54-7E8FEB0AB134}"/>
            </c:ext>
          </c:extLst>
        </c:ser>
        <c:dLbls>
          <c:showLegendKey val="0"/>
          <c:showVal val="0"/>
          <c:showCatName val="0"/>
          <c:showSerName val="0"/>
          <c:showPercent val="0"/>
          <c:showBubbleSize val="0"/>
        </c:dLbls>
        <c:gapWidth val="216"/>
        <c:overlap val="-32"/>
        <c:axId val="281188472"/>
        <c:axId val="865537557"/>
      </c:barChart>
      <c:catAx>
        <c:axId val="281188472"/>
        <c:scaling>
          <c:orientation val="minMax"/>
        </c:scaling>
        <c:delete val="0"/>
        <c:axPos val="b"/>
        <c:numFmt formatCode="General" sourceLinked="0"/>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crossAx val="865537557"/>
        <c:crosses val="autoZero"/>
        <c:auto val="1"/>
        <c:lblAlgn val="ctr"/>
        <c:lblOffset val="100"/>
        <c:noMultiLvlLbl val="0"/>
      </c:catAx>
      <c:valAx>
        <c:axId val="865537557"/>
        <c:scaling>
          <c:orientation val="minMax"/>
        </c:scaling>
        <c:delete val="1"/>
        <c:axPos val="l"/>
        <c:title>
          <c:tx>
            <c:rich>
              <a:bodyPr rot="-5400000" spcFirstLastPara="0" vertOverflow="ellipsis" vert="horz" wrap="square" anchor="ctr" anchorCtr="1"/>
              <a:lstStyle/>
              <a:p>
                <a:pPr defTabSz="914400">
                  <a:defRPr lang="en-GB" sz="1000" b="0" i="0" u="none" strike="noStrike" kern="1200" baseline="0">
                    <a:solidFill>
                      <a:sysClr val="windowText" lastClr="000000">
                        <a:lumMod val="65000"/>
                        <a:lumOff val="35000"/>
                      </a:sysClr>
                    </a:solidFill>
                    <a:latin typeface="+mn-lt"/>
                    <a:ea typeface="+mn-ea"/>
                    <a:cs typeface="+mn-cs"/>
                  </a:defRPr>
                </a:pPr>
                <a:r>
                  <a:rPr lang="en-US" altLang="en-GB"/>
                  <a:t>Percentage</a:t>
                </a:r>
              </a:p>
            </c:rich>
          </c:tx>
          <c:overlay val="0"/>
          <c:spPr>
            <a:noFill/>
            <a:ln>
              <a:noFill/>
            </a:ln>
            <a:effectLst/>
          </c:spPr>
          <c:txPr>
            <a:bodyPr rot="-5400000" spcFirstLastPara="0" vertOverflow="ellipsis" vert="horz" wrap="square" anchor="ctr" anchorCtr="1"/>
            <a:lstStyle/>
            <a:p>
              <a:pPr defTabSz="914400">
                <a:defRPr lang="en-GB" sz="1000" b="0" i="0" u="none" strike="noStrike" kern="1200" baseline="0">
                  <a:solidFill>
                    <a:sysClr val="windowText" lastClr="000000">
                      <a:lumMod val="65000"/>
                      <a:lumOff val="35000"/>
                    </a:sysClr>
                  </a:solidFill>
                  <a:latin typeface="+mn-lt"/>
                  <a:ea typeface="+mn-ea"/>
                  <a:cs typeface="+mn-cs"/>
                </a:defRPr>
              </a:pPr>
              <a:endParaRPr lang="en-US" altLang="en-GB"/>
            </a:p>
          </c:txPr>
        </c:title>
        <c:numFmt formatCode="General" sourceLinked="1"/>
        <c:majorTickMark val="none"/>
        <c:minorTickMark val="none"/>
        <c:tickLblPos val="nextTo"/>
        <c:crossAx val="281188472"/>
        <c:crosses val="autoZero"/>
        <c:crossBetween val="between"/>
      </c:valAx>
      <c:dTable>
        <c:showHorzBorder val="1"/>
        <c:showVertBorder val="1"/>
        <c:showOutline val="1"/>
        <c:showKeys val="1"/>
        <c:spPr>
          <a:noFill/>
          <a:ln w="9525" cap="flat" cmpd="sng" algn="ctr">
            <a:solidFill>
              <a:sysClr val="windowText" lastClr="000000">
                <a:lumMod val="15000"/>
                <a:lumOff val="85000"/>
              </a:sysClr>
            </a:solidFill>
            <a:round/>
          </a:ln>
          <a:effectLst/>
        </c:spPr>
        <c:txPr>
          <a:bodyPr rot="0" spcFirstLastPara="0" vertOverflow="ellipsis" vert="horz" wrap="square" anchor="ctr" anchorCtr="1"/>
          <a:lstStyle/>
          <a:p>
            <a:pPr>
              <a:defRPr lang="en-GB" sz="900" b="0" i="0" u="none" strike="noStrike" kern="1200" baseline="0">
                <a:solidFill>
                  <a:sysClr val="windowText" lastClr="000000">
                    <a:lumMod val="65000"/>
                    <a:lumOff val="35000"/>
                  </a:sysClr>
                </a:solidFill>
                <a:latin typeface="+mn-lt"/>
                <a:ea typeface="+mn-ea"/>
                <a:cs typeface="+mn-cs"/>
              </a:defRPr>
            </a:pPr>
            <a:endParaRPr lang="LID4096"/>
          </a:p>
        </c:txPr>
      </c:dTable>
      <c:spPr>
        <a:noFill/>
        <a:ln>
          <a:noFill/>
        </a:ln>
        <a:effectLst/>
      </c:spPr>
    </c:plotArea>
    <c:plotVisOnly val="1"/>
    <c:dispBlanksAs val="gap"/>
    <c:showDLblsOverMax val="0"/>
    <c:extLst>
      <c:ext uri="{0b15fc19-7d7d-44ad-8c2d-2c3a37ce22c3}">
        <chartProps xmlns="https://web.wps.cn/et/2018/main" chartId="{e923f56e-e3dc-42b2-bd2a-6f736c526f65}"/>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en-GB"/>
      </a:pPr>
      <a:endParaRPr lang="LID4096"/>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2.xml><?xml version="1.0" encoding="utf-8"?>
<cs:chartStyle xmlns:cs="http://schemas.microsoft.com/office/drawing/2012/chartStyle" xmlns:a="http://schemas.openxmlformats.org/drawingml/2006/main" id="10019">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3.xml><?xml version="1.0" encoding="utf-8"?>
<cs:chartStyle xmlns:cs="http://schemas.microsoft.com/office/drawing/2012/chartStyle" xmlns:a="http://schemas.openxmlformats.org/drawingml/2006/main" id="10019">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4.xml><?xml version="1.0" encoding="utf-8"?>
<cs:chartStyle xmlns:cs="http://schemas.microsoft.com/office/drawing/2012/chartStyle" xmlns:a="http://schemas.openxmlformats.org/drawingml/2006/main" id="10019">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5.xml><?xml version="1.0" encoding="utf-8"?>
<cs:chartStyle xmlns:cs="http://schemas.microsoft.com/office/drawing/2012/chartStyle" xmlns:a="http://schemas.openxmlformats.org/drawingml/2006/main" id="10019">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solidFill>
          <a:sysClr val="window" lastClr="FFFFFF"/>
        </a:solid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9.xml><?xml version="1.0" encoding="utf-8"?>
<cs:chartStyle xmlns:cs="http://schemas.microsoft.com/office/drawing/2012/chartStyle" xmlns:a="http://schemas.openxmlformats.org/drawingml/2006/main" id="10006">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ysClr val="windowText" lastClr="000000"/>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30358012CAA0884682DF987701E7660D" ma:contentTypeVersion="30" ma:contentTypeDescription="Create a new document." ma:contentTypeScope="" ma:versionID="9eb3ba8035f35f51dd769a832aab46e3">
  <xsd:schema xmlns:xsd="http://www.w3.org/2001/XMLSchema" xmlns:xs="http://www.w3.org/2001/XMLSchema" xmlns:p="http://schemas.microsoft.com/office/2006/metadata/properties" xmlns:ns2="91bbc586-ed8b-493d-9349-bf02349771e1" xmlns:ns3="562d7d35-72bb-4566-8068-7fa7824e945d" targetNamespace="http://schemas.microsoft.com/office/2006/metadata/properties" ma:root="true" ma:fieldsID="48bb958fa2e3043bdb864701c3b90b75" ns2:_="" ns3:_="">
    <xsd:import namespace="91bbc586-ed8b-493d-9349-bf02349771e1"/>
    <xsd:import namespace="562d7d35-72bb-4566-8068-7fa7824e9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DossierMali" minOccurs="0"/>
                <xsd:element ref="ns2:da92d0d3-4f25-4b58-9ea6-8df7b3e797acCountryOrRegion" minOccurs="0"/>
                <xsd:element ref="ns2:da92d0d3-4f25-4b58-9ea6-8df7b3e797acState" minOccurs="0"/>
                <xsd:element ref="ns2:da92d0d3-4f25-4b58-9ea6-8df7b3e797acCity" minOccurs="0"/>
                <xsd:element ref="ns2:da92d0d3-4f25-4b58-9ea6-8df7b3e797acPostalCode" minOccurs="0"/>
                <xsd:element ref="ns2:da92d0d3-4f25-4b58-9ea6-8df7b3e797acStreet" minOccurs="0"/>
                <xsd:element ref="ns2:da92d0d3-4f25-4b58-9ea6-8df7b3e797acGeoLoc" minOccurs="0"/>
                <xsd:element ref="ns2:da92d0d3-4f25-4b58-9ea6-8df7b3e797acDispName" minOccurs="0"/>
                <xsd:element ref="ns2:lcf76f155ced4ddcb4097134ff3c332f" minOccurs="0"/>
                <xsd:element ref="ns3:TaxCatchAll" minOccurs="0"/>
                <xsd:element ref="ns2:MediaServiceObjectDetectorVersions" minOccurs="0"/>
                <xsd:element ref="ns2:MediaServiceSearchProperties" minOccurs="0"/>
                <xsd:element ref="ns2:_x0031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bc586-ed8b-493d-9349-bf0234977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ossierMali" ma:index="21" nillable="true" ma:displayName="Dossier Mali" ma:format="Dropdown" ma:internalName="DossierMali">
      <xsd:simpleType>
        <xsd:restriction base="dms:Unknown"/>
      </xsd:simpleType>
    </xsd:element>
    <xsd:element name="da92d0d3-4f25-4b58-9ea6-8df7b3e797acCountryOrRegion" ma:index="22" nillable="true" ma:displayName="Dossier Mali : Pays/région" ma:internalName="CountryOrRegion" ma:readOnly="true">
      <xsd:simpleType>
        <xsd:restriction base="dms:Text"/>
      </xsd:simpleType>
    </xsd:element>
    <xsd:element name="da92d0d3-4f25-4b58-9ea6-8df7b3e797acState" ma:index="23" nillable="true" ma:displayName="Dossier Mali : État" ma:internalName="State" ma:readOnly="true">
      <xsd:simpleType>
        <xsd:restriction base="dms:Text"/>
      </xsd:simpleType>
    </xsd:element>
    <xsd:element name="da92d0d3-4f25-4b58-9ea6-8df7b3e797acCity" ma:index="24" nillable="true" ma:displayName="Dossier Mali : Ville" ma:internalName="City" ma:readOnly="true">
      <xsd:simpleType>
        <xsd:restriction base="dms:Text"/>
      </xsd:simpleType>
    </xsd:element>
    <xsd:element name="da92d0d3-4f25-4b58-9ea6-8df7b3e797acPostalCode" ma:index="25" nillable="true" ma:displayName="Dossier Mali : Code postal" ma:internalName="PostalCode" ma:readOnly="true">
      <xsd:simpleType>
        <xsd:restriction base="dms:Text"/>
      </xsd:simpleType>
    </xsd:element>
    <xsd:element name="da92d0d3-4f25-4b58-9ea6-8df7b3e797acStreet" ma:index="26" nillable="true" ma:displayName="Dossier Mali : Rue" ma:internalName="Street" ma:readOnly="true">
      <xsd:simpleType>
        <xsd:restriction base="dms:Text"/>
      </xsd:simpleType>
    </xsd:element>
    <xsd:element name="da92d0d3-4f25-4b58-9ea6-8df7b3e797acGeoLoc" ma:index="27" nillable="true" ma:displayName="Dossier Mali : Coordonnées" ma:internalName="GeoLoc" ma:readOnly="true">
      <xsd:simpleType>
        <xsd:restriction base="dms:Unknown"/>
      </xsd:simpleType>
    </xsd:element>
    <xsd:element name="da92d0d3-4f25-4b58-9ea6-8df7b3e797acDispName" ma:index="28" nillable="true" ma:displayName="Dossier Mali : nom" ma:internalName="DispName"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x0031_" ma:index="34" nillable="true" ma:displayName="Number" ma:format="Dropdown" ma:internalName="_x0031_" ma:percentage="FALSE">
      <xsd:simpleType>
        <xsd:restriction base="dms:Number"/>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2d7d35-72bb-4566-8068-7fa7824e94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baec6a53-ecff-401a-b972-6ad7529975b7}" ma:internalName="TaxCatchAll" ma:showField="CatchAllData" ma:web="562d7d35-72bb-4566-8068-7fa7824e94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2d7d35-72bb-4566-8068-7fa7824e945d" xsi:nil="true"/>
    <lcf76f155ced4ddcb4097134ff3c332f xmlns="91bbc586-ed8b-493d-9349-bf02349771e1">
      <Terms xmlns="http://schemas.microsoft.com/office/infopath/2007/PartnerControls"/>
    </lcf76f155ced4ddcb4097134ff3c332f>
    <_x0031_ xmlns="91bbc586-ed8b-493d-9349-bf02349771e1" xsi:nil="true"/>
    <DossierMali xmlns="91bbc586-ed8b-493d-9349-bf02349771e1" xsi:nil="true"/>
  </documentManagement>
</p:properties>
</file>

<file path=customXml/itemProps1.xml><?xml version="1.0" encoding="utf-8"?>
<ds:datastoreItem xmlns:ds="http://schemas.openxmlformats.org/officeDocument/2006/customXml" ds:itemID="{DA178D42-B40D-4C24-AA32-F2732F57B84B}">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9743E869-A339-4F06-AFF1-AB32BF263A80}"/>
</file>

<file path=customXml/itemProps4.xml><?xml version="1.0" encoding="utf-8"?>
<ds:datastoreItem xmlns:ds="http://schemas.openxmlformats.org/officeDocument/2006/customXml" ds:itemID="{9F58D47C-B09A-44EF-A75E-B83417D76873}"/>
</file>

<file path=customXml/itemProps5.xml><?xml version="1.0" encoding="utf-8"?>
<ds:datastoreItem xmlns:ds="http://schemas.openxmlformats.org/officeDocument/2006/customXml" ds:itemID="{F20550C1-C723-4B14-81B5-A487A7652240}"/>
</file>

<file path=docProps/app.xml><?xml version="1.0" encoding="utf-8"?>
<Properties xmlns="http://schemas.openxmlformats.org/officeDocument/2006/extended-properties" xmlns:vt="http://schemas.openxmlformats.org/officeDocument/2006/docPropsVTypes">
  <Template>Normal</Template>
  <TotalTime>2</TotalTime>
  <Pages>120</Pages>
  <Words>26292</Words>
  <Characters>163459</Characters>
  <Application>Microsoft Office Word</Application>
  <DocSecurity>0</DocSecurity>
  <Lines>5147</Lines>
  <Paragraphs>2033</Paragraphs>
  <ScaleCrop>false</ScaleCrop>
  <Company/>
  <LinksUpToDate>false</LinksUpToDate>
  <CharactersWithSpaces>187983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Manteaw</dc:creator>
  <cp:lastModifiedBy>Dr. Robert O. Manteaw</cp:lastModifiedBy>
  <cp:revision>3</cp:revision>
  <dcterms:created xsi:type="dcterms:W3CDTF">2025-12-15T10:07:00Z</dcterms:created>
  <dcterms:modified xsi:type="dcterms:W3CDTF">2025-12-15T10:07:00Z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1033-12.1.22531.22531</vt:lpwstr>
  </property>
  <property fmtid="{D5CDD505-2E9C-101B-9397-08002B2CF9AE}" pid="3" name="ICV">
    <vt:lpwstr>431A442A85C4BDF1A9F7336904A36B9F_43</vt:lpwstr>
  </property>
  <property fmtid="{D5CDD505-2E9C-101B-9397-08002B2CF9AE}" pid="4" name="ContentTypeId">
    <vt:lpwstr>0x01010030358012CAA0884682DF987701E7660D</vt:lpwstr>
  </property>
</Properties>
</file>